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right="25" w:rightChars="12"/>
        <w:rPr>
          <w:rFonts w:hint="eastAsia" w:ascii="Times New Roman" w:hAnsi="Times New Roman" w:eastAsia="方正小标宋简体"/>
          <w:b w:val="0"/>
          <w:bCs w:val="0"/>
          <w:sz w:val="44"/>
          <w:szCs w:val="44"/>
        </w:rPr>
      </w:pPr>
      <w:bookmarkStart w:id="0" w:name="_GoBack"/>
      <w:bookmarkEnd w:id="0"/>
      <w:r>
        <w:rPr>
          <w:rFonts w:hint="eastAsia" w:ascii="Times New Roman" w:hAnsi="Times New Roman" w:eastAsia="方正小标宋简体"/>
          <w:b w:val="0"/>
          <w:bCs w:val="0"/>
          <w:sz w:val="44"/>
          <w:szCs w:val="44"/>
        </w:rPr>
        <w:t>浙江工业大学设计与建筑学院</w:t>
      </w:r>
    </w:p>
    <w:p>
      <w:pPr>
        <w:pStyle w:val="2"/>
        <w:ind w:right="25" w:rightChars="12"/>
        <w:rPr>
          <w:rFonts w:hint="default" w:ascii="Times New Roman" w:hAnsi="Times New Roman" w:eastAsia="方正小标宋简体"/>
          <w:b w:val="0"/>
          <w:bCs w:val="0"/>
          <w:sz w:val="44"/>
          <w:szCs w:val="44"/>
          <w:lang w:val="en-US" w:eastAsia="zh-CN"/>
        </w:rPr>
      </w:pPr>
      <w:r>
        <w:rPr>
          <w:rFonts w:hint="eastAsia" w:ascii="Times New Roman" w:hAnsi="Times New Roman" w:eastAsia="方正小标宋简体"/>
          <w:b w:val="0"/>
          <w:bCs w:val="0"/>
          <w:sz w:val="44"/>
          <w:szCs w:val="44"/>
        </w:rPr>
        <w:t>研究生申请学位创新成果要求规定</w:t>
      </w:r>
      <w:r>
        <w:rPr>
          <w:rFonts w:hint="eastAsia" w:ascii="Times New Roman" w:hAnsi="Times New Roman" w:eastAsia="方正小标宋简体"/>
          <w:b w:val="0"/>
          <w:bCs w:val="0"/>
          <w:sz w:val="44"/>
          <w:szCs w:val="44"/>
          <w:lang w:eastAsia="zh-CN"/>
        </w:rPr>
        <w:t>（</w:t>
      </w:r>
      <w:r>
        <w:rPr>
          <w:rFonts w:hint="eastAsia" w:ascii="Times New Roman" w:hAnsi="Times New Roman" w:eastAsia="方正小标宋简体"/>
          <w:b w:val="0"/>
          <w:bCs w:val="0"/>
          <w:sz w:val="44"/>
          <w:szCs w:val="44"/>
          <w:lang w:val="en-US" w:eastAsia="zh-CN"/>
        </w:rPr>
        <w:t>试行）</w:t>
      </w:r>
    </w:p>
    <w:p/>
    <w:p>
      <w:pPr>
        <w:pStyle w:val="2"/>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为贯彻党的教育方针、落实立德树人根本任务，加快卓越研究生教育体系，保证学院硕士学位授予质量，根据《深化新时代教育评价改革总体方案》、《关于加快新时代研究生教育改革发展的意见》、《关于破除高校哲学社会科学研究评价中“唯论文”不良导向的若干意见》和《浙江工业大学研究生申请学位创新成果要求规定》等文件精神，结合学院实际，</w:t>
      </w:r>
      <w:r>
        <w:rPr>
          <w:rFonts w:hint="eastAsia" w:ascii="仿宋" w:hAnsi="仿宋" w:eastAsia="仿宋" w:cs="仿宋"/>
          <w:b w:val="0"/>
          <w:bCs w:val="0"/>
          <w:color w:val="000000" w:themeColor="text1"/>
          <w:sz w:val="32"/>
          <w:szCs w:val="32"/>
          <w14:textFill>
            <w14:solidFill>
              <w14:schemeClr w14:val="tx1"/>
            </w14:solidFill>
          </w14:textFill>
        </w:rPr>
        <w:t>制定本</w:t>
      </w:r>
      <w:r>
        <w:rPr>
          <w:rFonts w:hint="eastAsia" w:ascii="仿宋" w:hAnsi="仿宋" w:eastAsia="仿宋" w:cs="仿宋"/>
          <w:b w:val="0"/>
          <w:bCs w:val="0"/>
          <w:sz w:val="32"/>
          <w:szCs w:val="32"/>
        </w:rPr>
        <w:t>规定：</w:t>
      </w:r>
    </w:p>
    <w:p>
      <w:pPr>
        <w:pStyle w:val="2"/>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b w:val="0"/>
          <w:bCs w:val="0"/>
          <w:sz w:val="32"/>
          <w:szCs w:val="32"/>
        </w:rPr>
      </w:pPr>
      <w:r>
        <w:rPr>
          <w:rFonts w:hint="eastAsia" w:ascii="仿宋" w:hAnsi="仿宋" w:eastAsia="仿宋" w:cs="仿宋"/>
          <w:sz w:val="32"/>
          <w:szCs w:val="32"/>
        </w:rPr>
        <w:t>第一条</w:t>
      </w:r>
      <w:r>
        <w:rPr>
          <w:rFonts w:hint="eastAsia" w:ascii="仿宋" w:hAnsi="仿宋" w:eastAsia="仿宋" w:cs="仿宋"/>
          <w:b w:val="0"/>
          <w:bCs w:val="0"/>
          <w:sz w:val="32"/>
          <w:szCs w:val="32"/>
        </w:rPr>
        <w:t xml:space="preserve"> 研究生申请学位的创新成果，应由研究生攻读学位期间在导师指导下独立完成，以学位论文的形式完整呈现。学位论文是进行学位评定的主要依据。</w:t>
      </w:r>
    </w:p>
    <w:p>
      <w:pPr>
        <w:pStyle w:val="2"/>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b w:val="0"/>
          <w:bCs w:val="0"/>
          <w:sz w:val="32"/>
          <w:szCs w:val="32"/>
        </w:rPr>
      </w:pPr>
      <w:r>
        <w:rPr>
          <w:rFonts w:hint="eastAsia" w:ascii="仿宋" w:hAnsi="仿宋" w:eastAsia="仿宋" w:cs="仿宋"/>
          <w:sz w:val="32"/>
          <w:szCs w:val="32"/>
        </w:rPr>
        <w:t>第二条</w:t>
      </w:r>
      <w:r>
        <w:rPr>
          <w:rFonts w:hint="eastAsia" w:ascii="仿宋" w:hAnsi="仿宋" w:eastAsia="仿宋" w:cs="仿宋"/>
          <w:b w:val="0"/>
          <w:bCs w:val="0"/>
          <w:sz w:val="32"/>
          <w:szCs w:val="32"/>
        </w:rPr>
        <w:t xml:space="preserve"> 研究生可以以学术期刊论文、专（编）著、专利、奖项、标准等多种形式（以下统称学术成果）呈现相关创新成果。创新成果可以作为评价学位论文水平的重要参考。</w:t>
      </w:r>
    </w:p>
    <w:p>
      <w:pPr>
        <w:pStyle w:val="2"/>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b w:val="0"/>
          <w:bCs w:val="0"/>
          <w:sz w:val="32"/>
          <w:szCs w:val="32"/>
        </w:rPr>
      </w:pPr>
      <w:r>
        <w:rPr>
          <w:rFonts w:hint="eastAsia" w:ascii="仿宋" w:hAnsi="仿宋" w:eastAsia="仿宋" w:cs="仿宋"/>
          <w:sz w:val="32"/>
          <w:szCs w:val="32"/>
        </w:rPr>
        <w:t>第三条</w:t>
      </w:r>
      <w:r>
        <w:rPr>
          <w:rFonts w:hint="eastAsia" w:ascii="仿宋" w:hAnsi="仿宋" w:eastAsia="仿宋" w:cs="仿宋"/>
          <w:b w:val="0"/>
          <w:bCs w:val="0"/>
          <w:sz w:val="32"/>
          <w:szCs w:val="32"/>
        </w:rPr>
        <w:t xml:space="preserve"> 研究生用于申请硕士学位的创新成果，应当在相应学科领域具有先进性。研究生申请硕士学位时，需满足下列条件之一：</w:t>
      </w:r>
    </w:p>
    <w:p>
      <w:pPr>
        <w:keepNext w:val="0"/>
        <w:keepLines w:val="0"/>
        <w:pageBreakBefore w:val="0"/>
        <w:widowControl/>
        <w:tabs>
          <w:tab w:val="left" w:pos="0"/>
          <w:tab w:val="left" w:pos="3819"/>
        </w:tabs>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1.学位论文首次盲审专家评阅意见均为“A（同意答辩）”，且盲审成绩为90分及以上的份数不少于总份数的三分之二；</w:t>
      </w:r>
    </w:p>
    <w:p>
      <w:pPr>
        <w:keepNext w:val="0"/>
        <w:keepLines w:val="0"/>
        <w:pageBreakBefore w:val="0"/>
        <w:widowControl/>
        <w:tabs>
          <w:tab w:val="left" w:pos="0"/>
          <w:tab w:val="left" w:pos="3819"/>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kern w:val="0"/>
          <w:sz w:val="32"/>
          <w:szCs w:val="32"/>
        </w:rPr>
      </w:pPr>
      <w:r>
        <w:rPr>
          <w:rFonts w:hint="eastAsia" w:ascii="仿宋" w:hAnsi="仿宋" w:eastAsia="仿宋" w:cs="仿宋"/>
          <w:kern w:val="0"/>
          <w:sz w:val="32"/>
          <w:szCs w:val="32"/>
        </w:rPr>
        <w:t>2.学位论文盲审通过，且相关学术成果满足所属学位授权点的学术成果要求，各学位授权点的学术成果要求详见第四-六条。</w:t>
      </w:r>
    </w:p>
    <w:p>
      <w:pPr>
        <w:keepNext w:val="0"/>
        <w:keepLines w:val="0"/>
        <w:pageBreakBefore w:val="0"/>
        <w:widowControl/>
        <w:tabs>
          <w:tab w:val="left" w:pos="0"/>
          <w:tab w:val="left" w:pos="3819"/>
          <w:tab w:val="left" w:pos="4099"/>
        </w:tabs>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kern w:val="0"/>
          <w:sz w:val="32"/>
          <w:szCs w:val="32"/>
          <w:highlight w:val="green"/>
        </w:rPr>
      </w:pPr>
      <w:r>
        <w:rPr>
          <w:rFonts w:hint="eastAsia" w:ascii="仿宋" w:hAnsi="仿宋" w:eastAsia="仿宋" w:cs="仿宋"/>
          <w:b/>
          <w:bCs/>
          <w:kern w:val="0"/>
          <w:sz w:val="32"/>
          <w:szCs w:val="32"/>
        </w:rPr>
        <w:t>第四条</w:t>
      </w:r>
      <w:r>
        <w:rPr>
          <w:rFonts w:hint="eastAsia" w:ascii="仿宋" w:hAnsi="仿宋" w:eastAsia="仿宋" w:cs="仿宋"/>
          <w:kern w:val="0"/>
          <w:sz w:val="32"/>
          <w:szCs w:val="32"/>
        </w:rPr>
        <w:t xml:space="preserve"> 设计学</w:t>
      </w:r>
      <w:r>
        <w:rPr>
          <w:rFonts w:hint="eastAsia" w:ascii="仿宋" w:hAnsi="仿宋" w:eastAsia="仿宋" w:cs="仿宋"/>
          <w:kern w:val="0"/>
          <w:sz w:val="32"/>
          <w:szCs w:val="32"/>
          <w:lang w:eastAsia="zh-CN"/>
        </w:rPr>
        <w:t>学位点硕士生</w:t>
      </w:r>
      <w:r>
        <w:rPr>
          <w:rFonts w:hint="eastAsia" w:ascii="仿宋" w:hAnsi="仿宋" w:eastAsia="仿宋" w:cs="仿宋"/>
          <w:kern w:val="0"/>
          <w:sz w:val="32"/>
          <w:szCs w:val="32"/>
        </w:rPr>
        <w:t>申请学位时，学术成果须满足以下条件之一：</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color w:val="0000FF"/>
          <w:kern w:val="0"/>
          <w:sz w:val="32"/>
          <w:szCs w:val="32"/>
          <w:highlight w:val="yellow"/>
        </w:rPr>
      </w:pPr>
      <w:r>
        <w:rPr>
          <w:rFonts w:hint="eastAsia" w:ascii="仿宋" w:hAnsi="仿宋" w:eastAsia="仿宋" w:cs="仿宋"/>
          <w:kern w:val="0"/>
          <w:sz w:val="32"/>
          <w:szCs w:val="32"/>
        </w:rPr>
        <w:t>1</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发表（含录用）学院认定的I类</w:t>
      </w:r>
      <w:r>
        <w:rPr>
          <w:rFonts w:hint="eastAsia" w:ascii="仿宋" w:hAnsi="仿宋" w:eastAsia="仿宋" w:cs="仿宋"/>
          <w:kern w:val="0"/>
          <w:sz w:val="32"/>
          <w:szCs w:val="32"/>
          <w:highlight w:val="none"/>
        </w:rPr>
        <w:t>期刊论文1篇，在研究生署名中排第一，导师为第一完成人或通讯作者，</w:t>
      </w:r>
      <w:r>
        <w:rPr>
          <w:rFonts w:hint="eastAsia" w:ascii="仿宋" w:hAnsi="仿宋" w:eastAsia="仿宋" w:cs="仿宋"/>
          <w:kern w:val="0"/>
          <w:sz w:val="32"/>
          <w:szCs w:val="32"/>
        </w:rPr>
        <w:t>并体现在其学位论文中，学院认定的各类期刊目录见附件1。</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kern w:val="0"/>
          <w:sz w:val="32"/>
          <w:szCs w:val="32"/>
        </w:rPr>
      </w:pPr>
      <w:r>
        <w:rPr>
          <w:rFonts w:hint="eastAsia" w:ascii="仿宋" w:hAnsi="仿宋" w:eastAsia="仿宋" w:cs="仿宋"/>
          <w:kern w:val="0"/>
          <w:sz w:val="32"/>
          <w:szCs w:val="32"/>
        </w:rPr>
        <w:t>2</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发表（含录用）学院认定的Ⅲ类及以上期刊论文1篇，或在国际学术会议</w:t>
      </w:r>
      <w:r>
        <w:rPr>
          <w:rFonts w:hint="eastAsia" w:ascii="仿宋" w:hAnsi="仿宋" w:eastAsia="仿宋" w:cs="仿宋"/>
          <w:color w:val="000000" w:themeColor="text1"/>
          <w:kern w:val="0"/>
          <w:sz w:val="32"/>
          <w:szCs w:val="32"/>
          <w14:textFill>
            <w14:solidFill>
              <w14:schemeClr w14:val="tx1"/>
            </w14:solidFill>
          </w14:textFill>
        </w:rPr>
        <w:t>上</w:t>
      </w:r>
      <w:r>
        <w:rPr>
          <w:rFonts w:hint="eastAsia" w:ascii="仿宋" w:hAnsi="仿宋" w:eastAsia="仿宋" w:cs="仿宋"/>
          <w:kern w:val="0"/>
          <w:sz w:val="32"/>
          <w:szCs w:val="32"/>
        </w:rPr>
        <w:t>公开发表论文1篇并在大会宣读（会议论文仅限正式发表的长文，不含以其他形式发表的论文如Short paper、Demo paper、Technical Brief Summary以及作为伴随会议的Workshop等）；</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kern w:val="0"/>
          <w:sz w:val="32"/>
          <w:szCs w:val="32"/>
        </w:rPr>
      </w:pPr>
      <w:r>
        <w:rPr>
          <w:rFonts w:hint="eastAsia" w:ascii="仿宋" w:hAnsi="仿宋" w:eastAsia="仿宋" w:cs="仿宋"/>
          <w:kern w:val="0"/>
          <w:sz w:val="32"/>
          <w:szCs w:val="32"/>
        </w:rPr>
        <w:t>3</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在学校认定的中央级专业出版社公开出版学术专（编）著或译著1部；</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highlight w:val="yellow"/>
        </w:rPr>
      </w:pPr>
      <w:r>
        <w:rPr>
          <w:rFonts w:hint="eastAsia" w:ascii="仿宋" w:hAnsi="仿宋" w:eastAsia="仿宋" w:cs="仿宋"/>
          <w:kern w:val="0"/>
          <w:sz w:val="32"/>
          <w:szCs w:val="32"/>
        </w:rPr>
        <w:t>4</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在国家级大学生学科竞赛中获三等奖（或铜奖）及以上（见附件2中第1-5项国家级学科竞赛）；</w:t>
      </w:r>
    </w:p>
    <w:p>
      <w:pPr>
        <w:pStyle w:val="15"/>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trike/>
          <w:kern w:val="0"/>
          <w:sz w:val="32"/>
          <w:szCs w:val="32"/>
          <w:highlight w:val="yellow"/>
        </w:rPr>
      </w:pPr>
      <w:r>
        <w:rPr>
          <w:rFonts w:hint="eastAsia" w:ascii="仿宋" w:hAnsi="仿宋" w:eastAsia="仿宋" w:cs="仿宋"/>
          <w:kern w:val="0"/>
          <w:sz w:val="32"/>
          <w:szCs w:val="32"/>
        </w:rPr>
        <w:t>5</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获得授权发明专利；</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6</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撰写的研究报告获得省部级及以上领导批示（前</w:t>
      </w:r>
      <w:r>
        <w:rPr>
          <w:rFonts w:hint="eastAsia" w:ascii="仿宋" w:hAnsi="仿宋" w:eastAsia="仿宋" w:cs="仿宋"/>
          <w:color w:val="000000" w:themeColor="text1"/>
          <w:kern w:val="0"/>
          <w:sz w:val="32"/>
          <w:szCs w:val="32"/>
          <w14:textFill>
            <w14:solidFill>
              <w14:schemeClr w14:val="tx1"/>
            </w14:solidFill>
          </w14:textFill>
        </w:rPr>
        <w:t>3</w:t>
      </w:r>
      <w:r>
        <w:rPr>
          <w:rFonts w:hint="eastAsia" w:ascii="仿宋" w:hAnsi="仿宋" w:eastAsia="仿宋" w:cs="仿宋"/>
          <w:kern w:val="0"/>
          <w:sz w:val="32"/>
          <w:szCs w:val="32"/>
        </w:rPr>
        <w:t>）；</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7</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作为完成人获得省部级及以上政府部门设立的科技成果奖励1项。</w:t>
      </w:r>
    </w:p>
    <w:p>
      <w:pPr>
        <w:keepNext w:val="0"/>
        <w:keepLines w:val="0"/>
        <w:pageBreakBefore w:val="0"/>
        <w:widowControl/>
        <w:tabs>
          <w:tab w:val="left" w:pos="0"/>
          <w:tab w:val="left" w:pos="3819"/>
          <w:tab w:val="left" w:pos="4099"/>
        </w:tabs>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第五条</w:t>
      </w:r>
      <w:r>
        <w:rPr>
          <w:rFonts w:hint="eastAsia" w:ascii="仿宋" w:hAnsi="仿宋" w:eastAsia="仿宋" w:cs="仿宋"/>
          <w:kern w:val="0"/>
          <w:sz w:val="32"/>
          <w:szCs w:val="32"/>
        </w:rPr>
        <w:t xml:space="preserve"> 艺术设计</w:t>
      </w:r>
      <w:r>
        <w:rPr>
          <w:rFonts w:hint="eastAsia" w:ascii="仿宋" w:hAnsi="仿宋" w:eastAsia="仿宋" w:cs="仿宋"/>
          <w:kern w:val="0"/>
          <w:sz w:val="32"/>
          <w:szCs w:val="32"/>
          <w:lang w:eastAsia="zh-CN"/>
        </w:rPr>
        <w:t>学位点</w:t>
      </w:r>
      <w:r>
        <w:rPr>
          <w:rFonts w:hint="eastAsia" w:ascii="仿宋" w:hAnsi="仿宋" w:eastAsia="仿宋" w:cs="仿宋"/>
          <w:kern w:val="0"/>
          <w:sz w:val="32"/>
          <w:szCs w:val="32"/>
        </w:rPr>
        <w:t>硕士</w:t>
      </w:r>
      <w:r>
        <w:rPr>
          <w:rFonts w:hint="eastAsia" w:ascii="仿宋" w:hAnsi="仿宋" w:eastAsia="仿宋" w:cs="仿宋"/>
          <w:kern w:val="0"/>
          <w:sz w:val="32"/>
          <w:szCs w:val="32"/>
          <w:lang w:eastAsia="zh-CN"/>
        </w:rPr>
        <w:t>生</w:t>
      </w:r>
      <w:r>
        <w:rPr>
          <w:rFonts w:hint="eastAsia" w:ascii="仿宋" w:hAnsi="仿宋" w:eastAsia="仿宋" w:cs="仿宋"/>
          <w:kern w:val="0"/>
          <w:sz w:val="32"/>
          <w:szCs w:val="32"/>
        </w:rPr>
        <w:t>申请学位时，学术成果须满足以下条件之一：</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发表（含录用）学院认定的I类期刊论文</w:t>
      </w:r>
      <w:r>
        <w:rPr>
          <w:rFonts w:hint="eastAsia" w:ascii="仿宋" w:hAnsi="仿宋" w:eastAsia="仿宋" w:cs="仿宋"/>
          <w:kern w:val="0"/>
          <w:sz w:val="32"/>
          <w:szCs w:val="32"/>
          <w:highlight w:val="none"/>
        </w:rPr>
        <w:t>1篇，在研究生署名中排第一，导师为第一完成人或通讯作者，并</w:t>
      </w:r>
      <w:r>
        <w:rPr>
          <w:rFonts w:hint="eastAsia" w:ascii="仿宋" w:hAnsi="仿宋" w:eastAsia="仿宋" w:cs="仿宋"/>
          <w:kern w:val="0"/>
          <w:sz w:val="32"/>
          <w:szCs w:val="32"/>
        </w:rPr>
        <w:t>体现在其学位论文中，学院认定的各类期刊目录见附件1；</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2</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kern w:val="0"/>
          <w:sz w:val="32"/>
          <w:szCs w:val="32"/>
        </w:rPr>
        <w:t>发表（含录用）学院认定的</w:t>
      </w:r>
      <w:r>
        <w:rPr>
          <w:rFonts w:hint="eastAsia" w:ascii="仿宋" w:hAnsi="仿宋" w:eastAsia="仿宋" w:cs="仿宋"/>
          <w:sz w:val="32"/>
          <w:szCs w:val="32"/>
        </w:rPr>
        <w:t>Ⅳ</w:t>
      </w:r>
      <w:r>
        <w:rPr>
          <w:rFonts w:hint="eastAsia" w:ascii="仿宋" w:hAnsi="仿宋" w:eastAsia="仿宋" w:cs="仿宋"/>
          <w:kern w:val="0"/>
          <w:sz w:val="32"/>
          <w:szCs w:val="32"/>
        </w:rPr>
        <w:t>类期刊及以上论文1篇，或在国际学术会议上公开发表论文1篇并在大会宣读，或在代表性学术会议中发表论文1篇（附件3）；</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kern w:val="0"/>
          <w:sz w:val="32"/>
          <w:szCs w:val="32"/>
        </w:rPr>
      </w:pPr>
      <w:r>
        <w:rPr>
          <w:rFonts w:hint="eastAsia" w:ascii="仿宋" w:hAnsi="仿宋" w:eastAsia="仿宋" w:cs="仿宋"/>
          <w:kern w:val="0"/>
          <w:sz w:val="32"/>
          <w:szCs w:val="32"/>
        </w:rPr>
        <w:t>3</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在学校认定的中央级专业出版社公开出版学术专（编）著或译著1部；</w:t>
      </w:r>
    </w:p>
    <w:p>
      <w:pPr>
        <w:keepNext w:val="0"/>
        <w:keepLines w:val="0"/>
        <w:pageBreakBefore w:val="0"/>
        <w:widowControl/>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4</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公开发明专利1项，或获授权实用新型专利、软件著作权2项；</w:t>
      </w:r>
    </w:p>
    <w:p>
      <w:pPr>
        <w:keepNext w:val="0"/>
        <w:keepLines w:val="0"/>
        <w:pageBreakBefore w:val="0"/>
        <w:widowControl/>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5</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在全国性专业比赛中获三等奖（或铜奖）及以上（附件2）；</w:t>
      </w:r>
    </w:p>
    <w:p>
      <w:pPr>
        <w:keepNext w:val="0"/>
        <w:keepLines w:val="0"/>
        <w:pageBreakBefore w:val="0"/>
        <w:widowControl/>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6</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作为完成人获得省部级及以上政府部门设立的科技成果奖励1项；</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7</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撰写的研究报告获得省部级及以上领导批示（前</w:t>
      </w:r>
      <w:r>
        <w:rPr>
          <w:rFonts w:hint="eastAsia" w:ascii="仿宋" w:hAnsi="仿宋" w:eastAsia="仿宋" w:cs="仿宋"/>
          <w:color w:val="000000" w:themeColor="text1"/>
          <w:kern w:val="0"/>
          <w:sz w:val="32"/>
          <w:szCs w:val="32"/>
          <w14:textFill>
            <w14:solidFill>
              <w14:schemeClr w14:val="tx1"/>
            </w14:solidFill>
          </w14:textFill>
        </w:rPr>
        <w:t>3</w:t>
      </w:r>
      <w:r>
        <w:rPr>
          <w:rFonts w:hint="eastAsia" w:ascii="仿宋" w:hAnsi="仿宋" w:eastAsia="仿宋" w:cs="仿宋"/>
          <w:kern w:val="0"/>
          <w:sz w:val="32"/>
          <w:szCs w:val="32"/>
        </w:rPr>
        <w:t>）；</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8</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学生设计作品在学科认可的高影响力展览（附件4）中首次展出；</w:t>
      </w:r>
    </w:p>
    <w:p>
      <w:pPr>
        <w:keepNext w:val="0"/>
        <w:keepLines w:val="0"/>
        <w:pageBreakBefore w:val="0"/>
        <w:widowControl/>
        <w:tabs>
          <w:tab w:val="left" w:pos="0"/>
          <w:tab w:val="left" w:pos="3819"/>
          <w:tab w:val="left" w:pos="4099"/>
        </w:tabs>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第六条</w:t>
      </w:r>
      <w:r>
        <w:rPr>
          <w:rFonts w:hint="eastAsia" w:ascii="仿宋" w:hAnsi="仿宋" w:eastAsia="仿宋" w:cs="仿宋"/>
          <w:kern w:val="0"/>
          <w:sz w:val="32"/>
          <w:szCs w:val="32"/>
        </w:rPr>
        <w:t xml:space="preserve"> 建筑学和城乡规划学</w:t>
      </w:r>
      <w:r>
        <w:rPr>
          <w:rFonts w:hint="eastAsia" w:ascii="仿宋" w:hAnsi="仿宋" w:eastAsia="仿宋" w:cs="仿宋"/>
          <w:kern w:val="0"/>
          <w:sz w:val="32"/>
          <w:szCs w:val="32"/>
          <w:lang w:eastAsia="zh-CN"/>
        </w:rPr>
        <w:t>学位点</w:t>
      </w:r>
      <w:r>
        <w:rPr>
          <w:rFonts w:hint="eastAsia" w:ascii="仿宋" w:hAnsi="仿宋" w:eastAsia="仿宋" w:cs="仿宋"/>
          <w:kern w:val="0"/>
          <w:sz w:val="32"/>
          <w:szCs w:val="32"/>
        </w:rPr>
        <w:t>硕士</w:t>
      </w:r>
      <w:r>
        <w:rPr>
          <w:rFonts w:hint="eastAsia" w:ascii="仿宋" w:hAnsi="仿宋" w:eastAsia="仿宋" w:cs="仿宋"/>
          <w:kern w:val="0"/>
          <w:sz w:val="32"/>
          <w:szCs w:val="32"/>
          <w:lang w:eastAsia="zh-CN"/>
        </w:rPr>
        <w:t>生</w:t>
      </w:r>
      <w:r>
        <w:rPr>
          <w:rFonts w:hint="eastAsia" w:ascii="仿宋" w:hAnsi="仿宋" w:eastAsia="仿宋" w:cs="仿宋"/>
          <w:kern w:val="0"/>
          <w:sz w:val="32"/>
          <w:szCs w:val="32"/>
        </w:rPr>
        <w:t>申请学位时，学术成果须满足以下条件之一：</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highlight w:val="green"/>
        </w:rPr>
      </w:pPr>
      <w:r>
        <w:rPr>
          <w:rFonts w:hint="eastAsia" w:ascii="仿宋" w:hAnsi="仿宋" w:eastAsia="仿宋" w:cs="仿宋"/>
          <w:kern w:val="0"/>
          <w:sz w:val="32"/>
          <w:szCs w:val="32"/>
        </w:rPr>
        <w:t>1</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发表（含录用）学院认定的</w:t>
      </w:r>
      <w:r>
        <w:rPr>
          <w:rFonts w:hint="eastAsia" w:ascii="仿宋" w:hAnsi="仿宋" w:eastAsia="仿宋" w:cs="仿宋"/>
          <w:color w:val="333333"/>
          <w:sz w:val="32"/>
          <w:szCs w:val="32"/>
          <w:shd w:val="clear" w:color="auto" w:fill="FFFFFF"/>
        </w:rPr>
        <w:t>Ⅱ</w:t>
      </w:r>
      <w:r>
        <w:rPr>
          <w:rFonts w:hint="eastAsia" w:ascii="仿宋" w:hAnsi="仿宋" w:eastAsia="仿宋" w:cs="仿宋"/>
          <w:kern w:val="0"/>
          <w:sz w:val="32"/>
          <w:szCs w:val="32"/>
        </w:rPr>
        <w:t>类及以上期刊论文1篇，或在国际学术会议或中国城市规划学会年会或中国建筑学会学术年会上公开发表论文1篇并在大会宣读；</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color w:val="FF0000"/>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2</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在</w:t>
      </w:r>
      <w:r>
        <w:rPr>
          <w:rFonts w:hint="eastAsia" w:ascii="仿宋" w:hAnsi="仿宋" w:eastAsia="仿宋" w:cs="仿宋"/>
          <w:kern w:val="0"/>
          <w:sz w:val="32"/>
          <w:szCs w:val="32"/>
        </w:rPr>
        <w:t>国家级大学生学科竞赛中获三等奖（或铜奖）及以上</w:t>
      </w:r>
      <w:r>
        <w:rPr>
          <w:rFonts w:hint="eastAsia" w:ascii="仿宋" w:hAnsi="仿宋" w:eastAsia="仿宋" w:cs="仿宋"/>
          <w:color w:val="000000" w:themeColor="text1"/>
          <w:kern w:val="0"/>
          <w:sz w:val="32"/>
          <w:szCs w:val="32"/>
          <w14:textFill>
            <w14:solidFill>
              <w14:schemeClr w14:val="tx1"/>
            </w14:solidFill>
          </w14:textFill>
        </w:rPr>
        <w:t>，见附件5和附件6；</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作为完成人获得省部级及以上政府政府部门设立的科技成果奖励1项；</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4</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获得授权发明专利1项；</w:t>
      </w:r>
    </w:p>
    <w:p>
      <w:pPr>
        <w:keepNext w:val="0"/>
        <w:keepLines w:val="0"/>
        <w:pageBreakBefore w:val="0"/>
        <w:widowControl/>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5</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在学校认定的中央级专业出版社公开出版学术专（编）著或译著1部；</w:t>
      </w:r>
    </w:p>
    <w:p>
      <w:pPr>
        <w:keepNext w:val="0"/>
        <w:keepLines w:val="0"/>
        <w:pageBreakBefore w:val="0"/>
        <w:widowControl/>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6</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撰写的研究报告获得省部级及以上领导批示（前</w:t>
      </w:r>
      <w:r>
        <w:rPr>
          <w:rFonts w:hint="eastAsia" w:ascii="仿宋" w:hAnsi="仿宋" w:eastAsia="仿宋" w:cs="仿宋"/>
          <w:color w:val="000000" w:themeColor="text1"/>
          <w:kern w:val="0"/>
          <w:sz w:val="32"/>
          <w:szCs w:val="32"/>
          <w14:textFill>
            <w14:solidFill>
              <w14:schemeClr w14:val="tx1"/>
            </w14:solidFill>
          </w14:textFill>
        </w:rPr>
        <w:t>3</w:t>
      </w:r>
      <w:r>
        <w:rPr>
          <w:rFonts w:hint="eastAsia" w:ascii="仿宋" w:hAnsi="仿宋" w:eastAsia="仿宋" w:cs="仿宋"/>
          <w:kern w:val="0"/>
          <w:sz w:val="32"/>
          <w:szCs w:val="32"/>
        </w:rPr>
        <w:t>）；</w:t>
      </w:r>
    </w:p>
    <w:p>
      <w:pPr>
        <w:keepNext w:val="0"/>
        <w:keepLines w:val="0"/>
        <w:pageBreakBefore w:val="0"/>
        <w:widowControl/>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7</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发布国家标准、国际标准、行业标准、团体标准（前</w:t>
      </w:r>
      <w:r>
        <w:rPr>
          <w:rFonts w:hint="eastAsia" w:ascii="仿宋" w:hAnsi="仿宋" w:eastAsia="仿宋" w:cs="仿宋"/>
          <w:color w:val="000000" w:themeColor="text1"/>
          <w:kern w:val="0"/>
          <w:sz w:val="32"/>
          <w:szCs w:val="32"/>
          <w14:textFill>
            <w14:solidFill>
              <w14:schemeClr w14:val="tx1"/>
            </w14:solidFill>
          </w14:textFill>
        </w:rPr>
        <w:t>3</w:t>
      </w:r>
      <w:r>
        <w:rPr>
          <w:rFonts w:hint="eastAsia" w:ascii="仿宋" w:hAnsi="仿宋" w:eastAsia="仿宋" w:cs="仿宋"/>
          <w:kern w:val="0"/>
          <w:sz w:val="32"/>
          <w:szCs w:val="32"/>
        </w:rPr>
        <w:t>）。</w:t>
      </w:r>
    </w:p>
    <w:p>
      <w:pPr>
        <w:pStyle w:val="15"/>
        <w:keepNext w:val="0"/>
        <w:keepLines w:val="0"/>
        <w:pageBreakBefore w:val="0"/>
        <w:kinsoku/>
        <w:wordWrap/>
        <w:overflowPunct/>
        <w:topLinePunct w:val="0"/>
        <w:autoSpaceDE/>
        <w:autoSpaceDN/>
        <w:bidi w:val="0"/>
        <w:spacing w:line="360" w:lineRule="auto"/>
        <w:ind w:firstLine="482" w:firstLineChars="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 xml:space="preserve">第七条 </w:t>
      </w:r>
      <w:r>
        <w:rPr>
          <w:rFonts w:hint="eastAsia" w:ascii="仿宋" w:hAnsi="仿宋" w:eastAsia="仿宋" w:cs="仿宋"/>
          <w:kern w:val="0"/>
          <w:sz w:val="32"/>
          <w:szCs w:val="32"/>
        </w:rPr>
        <w:t>以上所有研究成果均须以浙江工业大学为第一署名单位，除特殊说明外，研究生须是第一完成人（或第二完成人，导师为第一完成人），且内容应与学位论文紧密相关。</w:t>
      </w:r>
    </w:p>
    <w:p>
      <w:pPr>
        <w:keepNext w:val="0"/>
        <w:keepLines w:val="0"/>
        <w:pageBreakBefore w:val="0"/>
        <w:widowControl/>
        <w:kinsoku/>
        <w:wordWrap/>
        <w:overflowPunct/>
        <w:topLinePunct w:val="0"/>
        <w:autoSpaceDE/>
        <w:autoSpaceDN/>
        <w:bidi w:val="0"/>
        <w:spacing w:line="36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研究生申请学位时提交的创新成果若不是正式发表，须签订学院、导师、研究生三方协议；若存在正式发表与三方协议不相符的情况，情节严重的撤销学位。</w:t>
      </w:r>
    </w:p>
    <w:p>
      <w:pPr>
        <w:keepNext w:val="0"/>
        <w:keepLines w:val="0"/>
        <w:pageBreakBefore w:val="0"/>
        <w:widowControl/>
        <w:kinsoku/>
        <w:wordWrap/>
        <w:overflowPunct/>
        <w:topLinePunct w:val="0"/>
        <w:autoSpaceDE/>
        <w:autoSpaceDN/>
        <w:bidi w:val="0"/>
        <w:spacing w:line="36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sz w:val="32"/>
          <w:szCs w:val="32"/>
        </w:rPr>
        <w:t xml:space="preserve">第九条 </w:t>
      </w:r>
      <w:r>
        <w:rPr>
          <w:rFonts w:hint="eastAsia" w:ascii="仿宋" w:hAnsi="仿宋" w:eastAsia="仿宋" w:cs="仿宋"/>
          <w:sz w:val="32"/>
          <w:szCs w:val="32"/>
        </w:rPr>
        <w:t>各</w:t>
      </w:r>
      <w:r>
        <w:rPr>
          <w:rFonts w:hint="eastAsia" w:ascii="仿宋" w:hAnsi="仿宋" w:eastAsia="仿宋" w:cs="仿宋"/>
          <w:kern w:val="0"/>
          <w:sz w:val="32"/>
          <w:szCs w:val="32"/>
        </w:rPr>
        <w:t>期刊以研究生入学（或注册）当年公布的收录期刊目录或学校执行的期刊目录为准，学习期间如遇目录调整，被调入相应类别的期刊同样有效。</w:t>
      </w:r>
    </w:p>
    <w:p>
      <w:pPr>
        <w:keepNext w:val="0"/>
        <w:keepLines w:val="0"/>
        <w:pageBreakBefore w:val="0"/>
        <w:widowControl/>
        <w:kinsoku/>
        <w:wordWrap/>
        <w:overflowPunct/>
        <w:topLinePunct w:val="0"/>
        <w:autoSpaceDE/>
        <w:autoSpaceDN/>
        <w:bidi w:val="0"/>
        <w:spacing w:line="360" w:lineRule="auto"/>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 xml:space="preserve">第十条 </w:t>
      </w:r>
      <w:r>
        <w:rPr>
          <w:rFonts w:hint="eastAsia" w:ascii="仿宋" w:hAnsi="仿宋" w:eastAsia="仿宋" w:cs="仿宋"/>
          <w:sz w:val="32"/>
          <w:szCs w:val="32"/>
        </w:rPr>
        <w:t>创新性学术成果需提供相应的佐证材料。</w:t>
      </w:r>
      <w:r>
        <w:rPr>
          <w:rFonts w:hint="eastAsia" w:ascii="仿宋" w:hAnsi="仿宋" w:eastAsia="仿宋" w:cs="仿宋"/>
          <w:kern w:val="0"/>
          <w:sz w:val="32"/>
          <w:szCs w:val="32"/>
        </w:rPr>
        <w:t>如对学术成果存在疑议的，由学院召开学术委员会审议后认定。</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color w:val="0000FF"/>
          <w:kern w:val="0"/>
          <w:sz w:val="32"/>
          <w:szCs w:val="32"/>
        </w:rPr>
      </w:pPr>
      <w:r>
        <w:rPr>
          <w:rFonts w:hint="eastAsia" w:ascii="仿宋" w:hAnsi="仿宋" w:eastAsia="仿宋" w:cs="仿宋"/>
          <w:color w:val="000000"/>
          <w:kern w:val="0"/>
          <w:sz w:val="32"/>
          <w:szCs w:val="32"/>
        </w:rPr>
        <w:t>本规定自发布之日开始实施，由设计与建筑学院学位评定分委员会负责解释。</w:t>
      </w:r>
      <w:r>
        <w:rPr>
          <w:rFonts w:hint="eastAsia" w:ascii="仿宋" w:hAnsi="仿宋" w:eastAsia="仿宋" w:cs="仿宋"/>
          <w:color w:val="0000FF"/>
          <w:kern w:val="0"/>
          <w:sz w:val="32"/>
          <w:szCs w:val="32"/>
        </w:rPr>
        <w:t xml:space="preserve"> </w:t>
      </w: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color w:val="000000"/>
          <w:kern w:val="0"/>
          <w:sz w:val="32"/>
          <w:szCs w:val="32"/>
        </w:rPr>
      </w:pP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color w:val="000000"/>
          <w:kern w:val="0"/>
          <w:sz w:val="32"/>
          <w:szCs w:val="32"/>
        </w:rPr>
      </w:pPr>
    </w:p>
    <w:p>
      <w:pPr>
        <w:pStyle w:val="15"/>
        <w:keepNext w:val="0"/>
        <w:keepLines w:val="0"/>
        <w:pageBreakBefore w:val="0"/>
        <w:kinsoku/>
        <w:wordWrap/>
        <w:overflowPunct/>
        <w:topLinePunct w:val="0"/>
        <w:autoSpaceDE/>
        <w:autoSpaceDN/>
        <w:bidi w:val="0"/>
        <w:spacing w:line="360" w:lineRule="auto"/>
        <w:ind w:firstLine="480"/>
        <w:textAlignment w:val="auto"/>
        <w:rPr>
          <w:rFonts w:hint="eastAsia" w:ascii="仿宋" w:hAnsi="仿宋" w:eastAsia="仿宋" w:cs="仿宋"/>
          <w:color w:val="000000"/>
          <w:kern w:val="0"/>
          <w:sz w:val="32"/>
          <w:szCs w:val="32"/>
        </w:rPr>
      </w:pPr>
    </w:p>
    <w:p>
      <w:pPr>
        <w:pStyle w:val="15"/>
        <w:keepNext w:val="0"/>
        <w:keepLines w:val="0"/>
        <w:pageBreakBefore w:val="0"/>
        <w:kinsoku/>
        <w:wordWrap/>
        <w:overflowPunct/>
        <w:topLinePunct w:val="0"/>
        <w:autoSpaceDE/>
        <w:autoSpaceDN/>
        <w:bidi w:val="0"/>
        <w:spacing w:line="360" w:lineRule="auto"/>
        <w:ind w:left="5118" w:leftChars="304" w:hanging="4480" w:hangingChars="14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设计与建筑学院</w:t>
      </w:r>
    </w:p>
    <w:p>
      <w:pPr>
        <w:pStyle w:val="15"/>
        <w:keepNext w:val="0"/>
        <w:keepLines w:val="0"/>
        <w:pageBreakBefore w:val="0"/>
        <w:kinsoku/>
        <w:wordWrap/>
        <w:overflowPunct/>
        <w:topLinePunct w:val="0"/>
        <w:autoSpaceDE/>
        <w:autoSpaceDN/>
        <w:bidi w:val="0"/>
        <w:spacing w:line="360" w:lineRule="auto"/>
        <w:ind w:left="6078" w:leftChars="304" w:hanging="5440" w:hangingChars="17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2022年8月</w:t>
      </w:r>
    </w:p>
    <w:p>
      <w:pPr>
        <w:widowControl/>
        <w:jc w:val="left"/>
        <w:rPr>
          <w:rFonts w:cs="Times New Roman"/>
          <w:kern w:val="0"/>
          <w:sz w:val="24"/>
          <w:szCs w:val="24"/>
        </w:rPr>
      </w:pPr>
      <w:r>
        <w:rPr>
          <w:kern w:val="0"/>
          <w:sz w:val="24"/>
        </w:rPr>
        <w:br w:type="page"/>
      </w:r>
    </w:p>
    <w:p>
      <w:pPr>
        <w:pStyle w:val="15"/>
        <w:spacing w:line="420" w:lineRule="exact"/>
        <w:ind w:firstLine="0" w:firstLineChars="0"/>
        <w:rPr>
          <w:rFonts w:hint="default" w:ascii="Times New Roman" w:hAnsi="Times New Roman" w:eastAsia="仿宋"/>
          <w:b/>
          <w:bCs/>
          <w:kern w:val="0"/>
          <w:sz w:val="24"/>
        </w:rPr>
      </w:pPr>
      <w:r>
        <w:rPr>
          <w:rFonts w:hint="default" w:ascii="Times New Roman" w:hAnsi="Times New Roman" w:eastAsia="仿宋"/>
          <w:b/>
          <w:bCs/>
          <w:kern w:val="0"/>
          <w:sz w:val="24"/>
        </w:rPr>
        <w:t>附件1：</w:t>
      </w:r>
    </w:p>
    <w:p>
      <w:pPr>
        <w:jc w:val="center"/>
        <w:rPr>
          <w:rFonts w:hint="default" w:eastAsia="仿宋" w:cs="Times New Roman"/>
          <w:b/>
          <w:bCs/>
          <w:sz w:val="24"/>
          <w:szCs w:val="24"/>
        </w:rPr>
      </w:pPr>
      <w:r>
        <w:rPr>
          <w:rFonts w:hint="default" w:eastAsia="仿宋" w:cs="Times New Roman"/>
          <w:b/>
          <w:bCs/>
          <w:sz w:val="24"/>
          <w:szCs w:val="24"/>
        </w:rPr>
        <w:t>设计与建筑学院认定的高水平期刊目录</w:t>
      </w:r>
    </w:p>
    <w:p>
      <w:pPr>
        <w:jc w:val="left"/>
        <w:rPr>
          <w:rFonts w:ascii="Times New Roman" w:hAnsi="Times New Roman" w:eastAsia="仿宋" w:cs="Times New Roman"/>
          <w:sz w:val="24"/>
          <w:szCs w:val="24"/>
        </w:rPr>
      </w:pPr>
    </w:p>
    <w:p>
      <w:pPr>
        <w:pStyle w:val="18"/>
        <w:numPr>
          <w:ilvl w:val="0"/>
          <w:numId w:val="1"/>
        </w:numPr>
        <w:ind w:firstLineChars="0"/>
        <w:jc w:val="left"/>
        <w:rPr>
          <w:rFonts w:ascii="Times New Roman" w:hAnsi="Times New Roman" w:eastAsia="仿宋" w:cs="Times New Roman"/>
          <w:sz w:val="24"/>
          <w:szCs w:val="24"/>
        </w:rPr>
      </w:pPr>
      <w:r>
        <w:rPr>
          <w:rFonts w:hint="default" w:ascii="Times New Roman" w:hAnsi="Times New Roman" w:eastAsia="仿宋" w:cs="Times New Roman"/>
          <w:sz w:val="24"/>
          <w:szCs w:val="24"/>
        </w:rPr>
        <w:t>期刊分类</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112"/>
        <w:gridCol w:w="61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5" w:hRule="atLeast"/>
        </w:trPr>
        <w:tc>
          <w:tcPr>
            <w:tcW w:w="2112" w:type="dxa"/>
            <w:shd w:val="clear" w:color="auto" w:fill="auto"/>
          </w:tcPr>
          <w:p>
            <w:pPr>
              <w:spacing w:line="400" w:lineRule="exact"/>
              <w:jc w:val="center"/>
              <w:rPr>
                <w:rFonts w:hint="default" w:eastAsia="仿宋" w:cs="Times New Roman"/>
                <w:sz w:val="24"/>
                <w:szCs w:val="24"/>
              </w:rPr>
            </w:pPr>
            <w:r>
              <w:rPr>
                <w:rFonts w:hint="default" w:eastAsia="仿宋" w:cs="Times New Roman"/>
                <w:sz w:val="24"/>
                <w:szCs w:val="24"/>
              </w:rPr>
              <w:t>序号</w:t>
            </w:r>
          </w:p>
        </w:tc>
        <w:tc>
          <w:tcPr>
            <w:tcW w:w="6168" w:type="dxa"/>
            <w:shd w:val="clear" w:color="auto" w:fill="auto"/>
          </w:tcPr>
          <w:p>
            <w:pPr>
              <w:spacing w:line="400" w:lineRule="exact"/>
              <w:jc w:val="center"/>
              <w:rPr>
                <w:rFonts w:hint="default" w:eastAsia="仿宋" w:cs="Times New Roman"/>
                <w:sz w:val="24"/>
                <w:szCs w:val="24"/>
              </w:rPr>
            </w:pPr>
            <w:r>
              <w:rPr>
                <w:rFonts w:hint="default" w:eastAsia="仿宋" w:cs="Times New Roman"/>
                <w:sz w:val="24"/>
                <w:szCs w:val="24"/>
              </w:rPr>
              <w:t>刊物名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1" w:hRule="atLeast"/>
        </w:trPr>
        <w:tc>
          <w:tcPr>
            <w:tcW w:w="2112" w:type="dxa"/>
            <w:shd w:val="clear" w:color="auto" w:fill="auto"/>
            <w:vAlign w:val="center"/>
          </w:tcPr>
          <w:p>
            <w:pPr>
              <w:spacing w:line="400" w:lineRule="exact"/>
              <w:jc w:val="center"/>
              <w:rPr>
                <w:rFonts w:hint="default" w:eastAsia="仿宋" w:cs="Times New Roman"/>
                <w:sz w:val="24"/>
                <w:szCs w:val="24"/>
              </w:rPr>
            </w:pPr>
            <w:r>
              <w:rPr>
                <w:rFonts w:hint="default" w:eastAsia="仿宋" w:cs="Times New Roman"/>
                <w:sz w:val="24"/>
                <w:szCs w:val="24"/>
              </w:rPr>
              <w:t>I类期刊</w:t>
            </w:r>
          </w:p>
        </w:tc>
        <w:tc>
          <w:tcPr>
            <w:tcW w:w="6168" w:type="dxa"/>
            <w:shd w:val="clear" w:color="auto" w:fill="auto"/>
          </w:tcPr>
          <w:p>
            <w:pPr>
              <w:spacing w:line="400" w:lineRule="exact"/>
              <w:rPr>
                <w:rFonts w:hint="default" w:eastAsia="仿宋" w:cs="Times New Roman"/>
                <w:sz w:val="24"/>
                <w:szCs w:val="24"/>
              </w:rPr>
            </w:pPr>
            <w:r>
              <w:rPr>
                <w:rFonts w:hint="default" w:eastAsia="仿宋" w:cs="Times New Roman"/>
                <w:sz w:val="24"/>
                <w:szCs w:val="24"/>
              </w:rPr>
              <w:t>学校认定的《国内A、B类学术期刊名录》中人文社科类权威级期刊、ZJUT TOP 100理工类期刊、CCFA类期刊、SCI 1区期刊、SSCI 1区期刊、学院认定的设计学高影响力期刊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trPr>
        <w:tc>
          <w:tcPr>
            <w:tcW w:w="2112" w:type="dxa"/>
            <w:shd w:val="clear" w:color="auto" w:fill="auto"/>
            <w:vAlign w:val="center"/>
          </w:tcPr>
          <w:p>
            <w:pPr>
              <w:spacing w:line="400" w:lineRule="exact"/>
              <w:jc w:val="center"/>
              <w:rPr>
                <w:rFonts w:hint="default" w:eastAsia="仿宋" w:cs="Times New Roman"/>
                <w:sz w:val="24"/>
                <w:szCs w:val="24"/>
              </w:rPr>
            </w:pPr>
            <w:r>
              <w:rPr>
                <w:rFonts w:hint="default" w:eastAsia="仿宋" w:cs="Times New Roman"/>
                <w:color w:val="333333"/>
                <w:sz w:val="24"/>
                <w:szCs w:val="24"/>
                <w:shd w:val="clear" w:color="auto" w:fill="FFFFFF"/>
              </w:rPr>
              <w:t>Ⅱ</w:t>
            </w:r>
            <w:r>
              <w:rPr>
                <w:rFonts w:hint="default" w:eastAsia="仿宋" w:cs="Times New Roman"/>
                <w:sz w:val="24"/>
                <w:szCs w:val="24"/>
              </w:rPr>
              <w:t>类期刊</w:t>
            </w:r>
          </w:p>
        </w:tc>
        <w:tc>
          <w:tcPr>
            <w:tcW w:w="6168" w:type="dxa"/>
            <w:shd w:val="clear" w:color="auto" w:fill="auto"/>
          </w:tcPr>
          <w:p>
            <w:pPr>
              <w:spacing w:line="400" w:lineRule="exact"/>
              <w:rPr>
                <w:rFonts w:hint="default" w:eastAsia="仿宋" w:cs="Times New Roman"/>
                <w:sz w:val="24"/>
                <w:szCs w:val="24"/>
              </w:rPr>
            </w:pPr>
            <w:r>
              <w:rPr>
                <w:rFonts w:hint="default" w:eastAsia="仿宋" w:cs="Times New Roman"/>
                <w:sz w:val="24"/>
                <w:szCs w:val="24"/>
              </w:rPr>
              <w:t>学校认定的《国内A、B类学术期刊名录》中的A、B类期刊，CCF B类期刊、以及除I类期刊外其他SCI、SSCI、A&amp;HCI 期刊、EI收录期刊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2112" w:type="dxa"/>
            <w:shd w:val="clear" w:color="auto" w:fill="auto"/>
            <w:vAlign w:val="center"/>
          </w:tcPr>
          <w:p>
            <w:pPr>
              <w:widowControl/>
              <w:jc w:val="center"/>
              <w:rPr>
                <w:rFonts w:hint="default" w:eastAsia="仿宋" w:cs="Times New Roman"/>
                <w:kern w:val="0"/>
                <w:sz w:val="24"/>
                <w:szCs w:val="24"/>
              </w:rPr>
            </w:pPr>
            <w:r>
              <w:rPr>
                <w:rFonts w:hint="default" w:eastAsia="仿宋" w:cs="Times New Roman"/>
                <w:color w:val="333333"/>
                <w:sz w:val="24"/>
                <w:szCs w:val="24"/>
                <w:shd w:val="clear" w:color="auto" w:fill="FFFFFF"/>
              </w:rPr>
              <w:t>Ⅲ</w:t>
            </w:r>
            <w:r>
              <w:rPr>
                <w:rFonts w:hint="default" w:eastAsia="仿宋" w:cs="Times New Roman"/>
                <w:sz w:val="24"/>
                <w:szCs w:val="24"/>
              </w:rPr>
              <w:t>类期刊</w:t>
            </w:r>
          </w:p>
        </w:tc>
        <w:tc>
          <w:tcPr>
            <w:tcW w:w="6168" w:type="dxa"/>
            <w:shd w:val="clear" w:color="auto" w:fill="auto"/>
            <w:vAlign w:val="center"/>
          </w:tcPr>
          <w:p>
            <w:pPr>
              <w:jc w:val="left"/>
              <w:rPr>
                <w:rFonts w:ascii="Times New Roman" w:hAnsi="Times New Roman" w:eastAsia="仿宋" w:cs="Times New Roman"/>
                <w:sz w:val="24"/>
                <w:szCs w:val="24"/>
              </w:rPr>
            </w:pPr>
            <w:r>
              <w:rPr>
                <w:rFonts w:hint="default" w:eastAsia="仿宋" w:cs="Times New Roman"/>
                <w:sz w:val="24"/>
                <w:szCs w:val="24"/>
              </w:rPr>
              <w:t>北大核心中文期刊中未列入学校A、B类期刊的其他期刊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9" w:hRule="atLeast"/>
        </w:trPr>
        <w:tc>
          <w:tcPr>
            <w:tcW w:w="2112" w:type="dxa"/>
            <w:shd w:val="clear" w:color="auto" w:fill="auto"/>
            <w:vAlign w:val="center"/>
          </w:tcPr>
          <w:p>
            <w:pPr>
              <w:widowControl/>
              <w:jc w:val="center"/>
              <w:rPr>
                <w:rFonts w:hint="default" w:eastAsia="仿宋" w:cs="Times New Roman"/>
                <w:kern w:val="0"/>
                <w:sz w:val="24"/>
                <w:szCs w:val="24"/>
              </w:rPr>
            </w:pPr>
            <w:r>
              <w:rPr>
                <w:rFonts w:hint="default" w:eastAsia="仿宋" w:cs="Times New Roman"/>
                <w:sz w:val="24"/>
                <w:szCs w:val="24"/>
              </w:rPr>
              <w:t>Ⅳ类期刊</w:t>
            </w:r>
          </w:p>
        </w:tc>
        <w:tc>
          <w:tcPr>
            <w:tcW w:w="6168" w:type="dxa"/>
            <w:shd w:val="clear" w:color="auto" w:fill="auto"/>
            <w:vAlign w:val="center"/>
          </w:tcPr>
          <w:p>
            <w:pPr>
              <w:rPr>
                <w:rFonts w:hint="default" w:eastAsia="仿宋" w:cs="Times New Roman"/>
                <w:sz w:val="24"/>
                <w:szCs w:val="24"/>
              </w:rPr>
            </w:pPr>
            <w:r>
              <w:rPr>
                <w:rFonts w:hint="default" w:eastAsia="仿宋" w:cs="Times New Roman"/>
                <w:sz w:val="24"/>
                <w:szCs w:val="24"/>
              </w:rPr>
              <w:t>学院认定的其他代表性期刊</w:t>
            </w:r>
          </w:p>
        </w:tc>
      </w:tr>
    </w:tbl>
    <w:p>
      <w:pPr>
        <w:pStyle w:val="18"/>
        <w:ind w:left="360" w:firstLine="0" w:firstLineChars="0"/>
        <w:rPr>
          <w:rFonts w:ascii="Times New Roman" w:hAnsi="Times New Roman" w:eastAsia="仿宋" w:cs="Times New Roman"/>
          <w:sz w:val="24"/>
          <w:szCs w:val="24"/>
        </w:rPr>
      </w:pPr>
    </w:p>
    <w:p>
      <w:pPr>
        <w:rPr>
          <w:rFonts w:hint="default" w:eastAsia="仿宋" w:cs="Times New Roman"/>
          <w:sz w:val="24"/>
          <w:szCs w:val="24"/>
        </w:rPr>
      </w:pPr>
      <w:r>
        <w:rPr>
          <w:rFonts w:hint="default" w:ascii="Times New Roman" w:hAnsi="Times New Roman" w:eastAsia="仿宋" w:cs="Times New Roman"/>
          <w:sz w:val="24"/>
          <w:szCs w:val="24"/>
        </w:rPr>
        <w:t>二、</w:t>
      </w:r>
      <w:r>
        <w:rPr>
          <w:rFonts w:hint="default" w:eastAsia="仿宋" w:cs="Times New Roman"/>
          <w:sz w:val="24"/>
          <w:szCs w:val="24"/>
        </w:rPr>
        <w:t>I类期刊中的设计学高影响力期刊</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536"/>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序号</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期刊名</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主办单位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1</w:t>
            </w:r>
          </w:p>
        </w:tc>
        <w:tc>
          <w:tcPr>
            <w:tcW w:w="4536" w:type="dxa"/>
          </w:tcPr>
          <w:p>
            <w:pPr>
              <w:rPr>
                <w:rFonts w:ascii="Times New Roman" w:hAnsi="Times New Roman" w:eastAsia="仿宋" w:cs="Times New Roman"/>
                <w:sz w:val="24"/>
                <w:szCs w:val="24"/>
              </w:rPr>
            </w:pPr>
            <w:r>
              <w:rPr>
                <w:rFonts w:ascii="Times New Roman" w:hAnsi="Times New Roman" w:eastAsia="仿宋" w:cs="Times New Roman"/>
                <w:sz w:val="24"/>
                <w:szCs w:val="24"/>
              </w:rPr>
              <w:t>D</w:t>
            </w:r>
            <w:r>
              <w:rPr>
                <w:rFonts w:hint="default" w:ascii="Times New Roman" w:hAnsi="Times New Roman" w:eastAsia="仿宋" w:cs="Times New Roman"/>
                <w:sz w:val="24"/>
                <w:szCs w:val="24"/>
              </w:rPr>
              <w:t>esign</w:t>
            </w:r>
            <w:r>
              <w:rPr>
                <w:rFonts w:ascii="Times New Roman" w:hAnsi="Times New Roman" w:eastAsia="仿宋" w:cs="Times New Roman"/>
                <w:sz w:val="24"/>
                <w:szCs w:val="24"/>
              </w:rPr>
              <w:t xml:space="preserve"> </w:t>
            </w:r>
            <w:r>
              <w:rPr>
                <w:rFonts w:hint="default" w:ascii="Times New Roman" w:hAnsi="Times New Roman" w:eastAsia="仿宋" w:cs="Times New Roman"/>
                <w:sz w:val="24"/>
                <w:szCs w:val="24"/>
              </w:rPr>
              <w:t>studies</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El</w:t>
            </w:r>
            <w:r>
              <w:rPr>
                <w:rFonts w:ascii="Times New Roman" w:hAnsi="Times New Roman" w:eastAsia="仿宋" w:cs="Times New Roman"/>
                <w:sz w:val="24"/>
                <w:szCs w:val="24"/>
              </w:rPr>
              <w:t>sevier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2</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D</w:t>
            </w:r>
            <w:r>
              <w:rPr>
                <w:rFonts w:ascii="Times New Roman" w:hAnsi="Times New Roman" w:eastAsia="仿宋" w:cs="Times New Roman"/>
                <w:sz w:val="24"/>
                <w:szCs w:val="24"/>
              </w:rPr>
              <w:t>esign Issues</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MIT</w:t>
            </w:r>
            <w:r>
              <w:rPr>
                <w:rFonts w:ascii="Times New Roman" w:hAnsi="Times New Roman" w:eastAsia="仿宋" w:cs="Times New Roman"/>
                <w:sz w:val="24"/>
                <w:szCs w:val="24"/>
              </w:rPr>
              <w:t xml:space="preserve"> </w:t>
            </w:r>
            <w:r>
              <w:rPr>
                <w:rFonts w:hint="default" w:ascii="Times New Roman" w:hAnsi="Times New Roman" w:eastAsia="仿宋" w:cs="Times New Roman"/>
                <w:sz w:val="24"/>
                <w:szCs w:val="24"/>
              </w:rPr>
              <w:t>Press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3</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I</w:t>
            </w:r>
            <w:r>
              <w:rPr>
                <w:rFonts w:ascii="Times New Roman" w:hAnsi="Times New Roman" w:eastAsia="仿宋" w:cs="Times New Roman"/>
                <w:sz w:val="24"/>
                <w:szCs w:val="24"/>
              </w:rPr>
              <w:t>nternational Journal of Design</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台湾科技大学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4</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The</w:t>
            </w:r>
            <w:r>
              <w:rPr>
                <w:rFonts w:ascii="Times New Roman" w:hAnsi="Times New Roman" w:eastAsia="仿宋" w:cs="Times New Roman"/>
                <w:sz w:val="24"/>
                <w:szCs w:val="24"/>
              </w:rPr>
              <w:t xml:space="preserve"> </w:t>
            </w:r>
            <w:r>
              <w:rPr>
                <w:rFonts w:hint="default" w:ascii="Times New Roman" w:hAnsi="Times New Roman" w:eastAsia="仿宋" w:cs="Times New Roman"/>
                <w:sz w:val="24"/>
                <w:szCs w:val="24"/>
              </w:rPr>
              <w:t>Design</w:t>
            </w:r>
            <w:r>
              <w:rPr>
                <w:rFonts w:ascii="Times New Roman" w:hAnsi="Times New Roman" w:eastAsia="仿宋" w:cs="Times New Roman"/>
                <w:sz w:val="24"/>
                <w:szCs w:val="24"/>
              </w:rPr>
              <w:t xml:space="preserve"> </w:t>
            </w:r>
            <w:r>
              <w:rPr>
                <w:rFonts w:hint="default" w:ascii="Times New Roman" w:hAnsi="Times New Roman" w:eastAsia="仿宋" w:cs="Times New Roman"/>
                <w:sz w:val="24"/>
                <w:szCs w:val="24"/>
              </w:rPr>
              <w:t>Journal</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Taylor</w:t>
            </w:r>
            <w:r>
              <w:rPr>
                <w:rFonts w:ascii="Times New Roman" w:hAnsi="Times New Roman" w:eastAsia="仿宋" w:cs="Times New Roman"/>
                <w:sz w:val="24"/>
                <w:szCs w:val="24"/>
              </w:rPr>
              <w:t xml:space="preserve">&amp; </w:t>
            </w:r>
            <w:r>
              <w:rPr>
                <w:rFonts w:hint="default" w:ascii="Times New Roman" w:hAnsi="Times New Roman" w:eastAsia="仿宋" w:cs="Times New Roman"/>
                <w:sz w:val="24"/>
                <w:szCs w:val="24"/>
              </w:rPr>
              <w:t>Francis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5</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App</w:t>
            </w:r>
            <w:r>
              <w:rPr>
                <w:rFonts w:ascii="Times New Roman" w:hAnsi="Times New Roman" w:eastAsia="仿宋" w:cs="Times New Roman"/>
                <w:sz w:val="24"/>
                <w:szCs w:val="24"/>
              </w:rPr>
              <w:t>lied Ergonomics</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El</w:t>
            </w:r>
            <w:r>
              <w:rPr>
                <w:rFonts w:ascii="Times New Roman" w:hAnsi="Times New Roman" w:eastAsia="仿宋" w:cs="Times New Roman"/>
                <w:sz w:val="24"/>
                <w:szCs w:val="24"/>
              </w:rPr>
              <w:t>sevier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6</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H</w:t>
            </w:r>
            <w:r>
              <w:rPr>
                <w:rFonts w:ascii="Times New Roman" w:hAnsi="Times New Roman" w:eastAsia="仿宋" w:cs="Times New Roman"/>
                <w:sz w:val="24"/>
                <w:szCs w:val="24"/>
              </w:rPr>
              <w:t>uman Factors</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S</w:t>
            </w:r>
            <w:r>
              <w:rPr>
                <w:rFonts w:ascii="Times New Roman" w:hAnsi="Times New Roman" w:eastAsia="仿宋" w:cs="Times New Roman"/>
                <w:sz w:val="24"/>
                <w:szCs w:val="24"/>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7</w:t>
            </w:r>
          </w:p>
        </w:tc>
        <w:tc>
          <w:tcPr>
            <w:tcW w:w="4536" w:type="dxa"/>
          </w:tcPr>
          <w:p>
            <w:pPr>
              <w:pStyle w:val="8"/>
              <w:rPr>
                <w:rFonts w:hint="default" w:ascii="Times New Roman" w:hAnsi="Times New Roman" w:eastAsia="仿宋" w:cs="Times New Roman"/>
              </w:rPr>
            </w:pPr>
            <w:r>
              <w:rPr>
                <w:rFonts w:hint="default" w:ascii="Times New Roman" w:hAnsi="Times New Roman" w:eastAsia="仿宋" w:cs="Times New Roman"/>
              </w:rPr>
              <w:t>Computer-Aided Design</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El</w:t>
            </w:r>
            <w:r>
              <w:rPr>
                <w:rFonts w:ascii="Times New Roman" w:hAnsi="Times New Roman" w:eastAsia="仿宋" w:cs="Times New Roman"/>
                <w:sz w:val="24"/>
                <w:szCs w:val="24"/>
              </w:rPr>
              <w:t>sevier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8</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 xml:space="preserve">Human-Computer Interaction </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T</w:t>
            </w:r>
            <w:r>
              <w:rPr>
                <w:rFonts w:ascii="Times New Roman" w:hAnsi="Times New Roman" w:eastAsia="仿宋" w:cs="Times New Roman"/>
                <w:sz w:val="24"/>
                <w:szCs w:val="24"/>
              </w:rPr>
              <w:t>aylor &amp; Francis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9</w:t>
            </w:r>
          </w:p>
        </w:tc>
        <w:tc>
          <w:tcPr>
            <w:tcW w:w="453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IEEE Transactions on Affective Computing</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IEEE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1</w:t>
            </w:r>
            <w:r>
              <w:rPr>
                <w:rFonts w:ascii="Times New Roman" w:hAnsi="Times New Roman" w:eastAsia="仿宋" w:cs="Times New Roman"/>
                <w:sz w:val="24"/>
                <w:szCs w:val="24"/>
              </w:rPr>
              <w:t>0</w:t>
            </w:r>
          </w:p>
        </w:tc>
        <w:tc>
          <w:tcPr>
            <w:tcW w:w="4536" w:type="dxa"/>
          </w:tcPr>
          <w:p>
            <w:pPr>
              <w:pStyle w:val="7"/>
              <w:rPr>
                <w:rFonts w:ascii="Times New Roman" w:hAnsi="Times New Roman" w:eastAsia="仿宋" w:cs="Times New Roman"/>
                <w:kern w:val="2"/>
              </w:rPr>
            </w:pPr>
            <w:r>
              <w:rPr>
                <w:rFonts w:hint="default" w:ascii="Times New Roman" w:hAnsi="Times New Roman" w:eastAsia="仿宋" w:cs="Times New Roman"/>
                <w:kern w:val="2"/>
              </w:rPr>
              <w:t xml:space="preserve">Leonardo </w:t>
            </w:r>
          </w:p>
        </w:tc>
        <w:tc>
          <w:tcPr>
            <w:tcW w:w="2908" w:type="dxa"/>
          </w:tcPr>
          <w:p>
            <w:pPr>
              <w:rPr>
                <w:rFonts w:ascii="Times New Roman" w:hAnsi="Times New Roman" w:eastAsia="仿宋" w:cs="Times New Roman"/>
                <w:sz w:val="24"/>
                <w:szCs w:val="24"/>
              </w:rPr>
            </w:pPr>
            <w:r>
              <w:rPr>
                <w:rFonts w:hint="default" w:ascii="Times New Roman" w:hAnsi="Times New Roman" w:eastAsia="仿宋" w:cs="Times New Roman"/>
                <w:sz w:val="24"/>
                <w:szCs w:val="24"/>
              </w:rPr>
              <w:t>MIT</w:t>
            </w:r>
            <w:r>
              <w:rPr>
                <w:rFonts w:ascii="Times New Roman" w:hAnsi="Times New Roman" w:eastAsia="仿宋" w:cs="Times New Roman"/>
                <w:sz w:val="24"/>
                <w:szCs w:val="24"/>
              </w:rPr>
              <w:t xml:space="preserve"> </w:t>
            </w:r>
            <w:r>
              <w:rPr>
                <w:rFonts w:hint="default" w:ascii="Times New Roman" w:hAnsi="Times New Roman" w:eastAsia="仿宋" w:cs="Times New Roman"/>
                <w:sz w:val="24"/>
                <w:szCs w:val="24"/>
              </w:rPr>
              <w:t>Press</w:t>
            </w:r>
          </w:p>
        </w:tc>
      </w:tr>
    </w:tbl>
    <w:p>
      <w:pPr>
        <w:rPr>
          <w:rFonts w:ascii="Times New Roman" w:hAnsi="Times New Roman" w:eastAsia="仿宋" w:cs="Times New Roman"/>
          <w:sz w:val="24"/>
          <w:szCs w:val="24"/>
        </w:rPr>
      </w:pPr>
    </w:p>
    <w:p>
      <w:pPr>
        <w:rPr>
          <w:rFonts w:ascii="Times New Roman" w:hAnsi="Times New Roman" w:eastAsia="仿宋" w:cs="Times New Roman"/>
          <w:sz w:val="24"/>
          <w:szCs w:val="24"/>
        </w:rPr>
      </w:pPr>
      <w:r>
        <w:rPr>
          <w:rFonts w:hint="default" w:eastAsia="仿宋" w:cs="Times New Roman"/>
          <w:sz w:val="24"/>
          <w:szCs w:val="24"/>
        </w:rPr>
        <w:t>三、Ⅳ类期刊中的</w:t>
      </w:r>
      <w:r>
        <w:rPr>
          <w:rFonts w:hint="default" w:ascii="Times New Roman" w:hAnsi="Times New Roman" w:eastAsia="仿宋" w:cs="Times New Roman"/>
          <w:sz w:val="24"/>
          <w:szCs w:val="24"/>
        </w:rPr>
        <w:t>其他代表性期刊：</w:t>
      </w:r>
    </w:p>
    <w:p>
      <w:pPr>
        <w:rPr>
          <w:rFonts w:hint="default" w:eastAsia="仿宋" w:cs="Times New Roman"/>
          <w:sz w:val="24"/>
          <w:szCs w:val="24"/>
        </w:rPr>
      </w:pPr>
      <w:r>
        <w:rPr>
          <w:rFonts w:hint="default" w:eastAsia="仿宋" w:cs="Times New Roman"/>
          <w:sz w:val="24"/>
          <w:szCs w:val="24"/>
        </w:rPr>
        <w:t>1、《设计》</w:t>
      </w:r>
    </w:p>
    <w:p>
      <w:pPr>
        <w:rPr>
          <w:rFonts w:hint="default" w:eastAsia="仿宋" w:cs="Times New Roman"/>
          <w:sz w:val="24"/>
          <w:szCs w:val="24"/>
        </w:rPr>
      </w:pPr>
      <w:r>
        <w:rPr>
          <w:rFonts w:hint="default" w:eastAsia="仿宋" w:cs="Times New Roman"/>
          <w:sz w:val="24"/>
          <w:szCs w:val="24"/>
        </w:rPr>
        <w:t>2、《设计艺术研究》</w:t>
      </w:r>
    </w:p>
    <w:p>
      <w:pPr>
        <w:rPr>
          <w:rFonts w:hint="default" w:eastAsia="仿宋" w:cs="Times New Roman"/>
          <w:sz w:val="24"/>
          <w:szCs w:val="24"/>
        </w:rPr>
      </w:pPr>
      <w:r>
        <w:rPr>
          <w:rFonts w:hint="default" w:eastAsia="仿宋" w:cs="Times New Roman"/>
          <w:sz w:val="24"/>
          <w:szCs w:val="24"/>
        </w:rPr>
        <w:t>3、《工业工程设计》</w:t>
      </w:r>
    </w:p>
    <w:p>
      <w:pPr>
        <w:rPr>
          <w:rFonts w:hint="default" w:eastAsia="仿宋" w:cs="Times New Roman"/>
          <w:sz w:val="24"/>
          <w:szCs w:val="24"/>
        </w:rPr>
      </w:pPr>
      <w:r>
        <w:rPr>
          <w:rFonts w:hint="default" w:eastAsia="仿宋" w:cs="Times New Roman"/>
          <w:sz w:val="24"/>
          <w:szCs w:val="24"/>
        </w:rPr>
        <w:t>4、《华中建筑》</w:t>
      </w:r>
    </w:p>
    <w:p>
      <w:pPr>
        <w:rPr>
          <w:rFonts w:hint="default" w:eastAsia="仿宋" w:cs="Times New Roman"/>
          <w:sz w:val="24"/>
          <w:szCs w:val="24"/>
        </w:rPr>
      </w:pPr>
      <w:r>
        <w:rPr>
          <w:rFonts w:hint="default" w:eastAsia="仿宋" w:cs="Times New Roman"/>
          <w:sz w:val="24"/>
          <w:szCs w:val="24"/>
        </w:rPr>
        <w:t>5、《西部人居环境学刊》</w:t>
      </w:r>
    </w:p>
    <w:p>
      <w:pPr>
        <w:rPr>
          <w:rFonts w:hint="default" w:eastAsia="仿宋" w:cs="Times New Roman"/>
          <w:sz w:val="24"/>
          <w:szCs w:val="24"/>
        </w:rPr>
      </w:pPr>
      <w:r>
        <w:rPr>
          <w:rFonts w:hint="default" w:eastAsia="仿宋" w:cs="Times New Roman"/>
          <w:sz w:val="24"/>
          <w:szCs w:val="24"/>
        </w:rPr>
        <w:t>6、《艺术与设计（理论）》</w:t>
      </w:r>
    </w:p>
    <w:p>
      <w:pPr>
        <w:rPr>
          <w:rFonts w:hint="default" w:eastAsia="仿宋" w:cs="Times New Roman"/>
          <w:sz w:val="24"/>
          <w:szCs w:val="24"/>
        </w:rPr>
      </w:pPr>
      <w:r>
        <w:rPr>
          <w:rFonts w:hint="default" w:eastAsia="仿宋" w:cs="Times New Roman"/>
          <w:sz w:val="24"/>
          <w:szCs w:val="24"/>
        </w:rPr>
        <w:t>7、《艺术科技》</w:t>
      </w:r>
    </w:p>
    <w:p>
      <w:pPr>
        <w:rPr>
          <w:rFonts w:hint="default" w:eastAsia="仿宋" w:cs="Times New Roman"/>
          <w:sz w:val="24"/>
          <w:szCs w:val="24"/>
        </w:rPr>
      </w:pPr>
      <w:r>
        <w:rPr>
          <w:rFonts w:hint="default" w:eastAsia="仿宋" w:cs="Times New Roman"/>
          <w:sz w:val="24"/>
          <w:szCs w:val="24"/>
        </w:rPr>
        <w:t>8、《包装世界》</w:t>
      </w:r>
    </w:p>
    <w:p>
      <w:pPr>
        <w:rPr>
          <w:rFonts w:hint="default" w:eastAsia="仿宋" w:cs="Times New Roman"/>
          <w:sz w:val="24"/>
          <w:szCs w:val="24"/>
        </w:rPr>
      </w:pPr>
      <w:r>
        <w:rPr>
          <w:rFonts w:hint="default" w:eastAsia="仿宋" w:cs="Times New Roman"/>
          <w:sz w:val="24"/>
          <w:szCs w:val="24"/>
        </w:rPr>
        <w:t>9、《湖南包装》</w:t>
      </w:r>
    </w:p>
    <w:p>
      <w:pPr>
        <w:rPr>
          <w:rFonts w:hint="default" w:eastAsia="仿宋" w:cs="Times New Roman"/>
          <w:sz w:val="24"/>
          <w:szCs w:val="24"/>
        </w:rPr>
      </w:pPr>
      <w:r>
        <w:rPr>
          <w:rFonts w:hint="default" w:eastAsia="仿宋" w:cs="Times New Roman"/>
          <w:sz w:val="24"/>
          <w:szCs w:val="24"/>
        </w:rPr>
        <w:t>10、《当代动画》</w:t>
      </w:r>
    </w:p>
    <w:p>
      <w:pPr>
        <w:rPr>
          <w:rFonts w:hint="default" w:eastAsia="仿宋" w:cs="Times New Roman"/>
          <w:sz w:val="24"/>
          <w:szCs w:val="24"/>
        </w:rPr>
      </w:pPr>
      <w:r>
        <w:rPr>
          <w:rFonts w:hint="default" w:eastAsia="仿宋" w:cs="Times New Roman"/>
          <w:sz w:val="24"/>
          <w:szCs w:val="24"/>
        </w:rPr>
        <w:t>11、《美育学刊》</w:t>
      </w:r>
    </w:p>
    <w:p>
      <w:pPr>
        <w:rPr>
          <w:rFonts w:hint="default" w:eastAsia="仿宋" w:cs="Times New Roman"/>
          <w:sz w:val="24"/>
          <w:szCs w:val="24"/>
        </w:rPr>
      </w:pPr>
      <w:r>
        <w:rPr>
          <w:rFonts w:hint="default" w:eastAsia="仿宋" w:cs="Times New Roman"/>
          <w:sz w:val="24"/>
          <w:szCs w:val="24"/>
        </w:rPr>
        <w:t>12、《丝网印刷》</w:t>
      </w:r>
    </w:p>
    <w:p>
      <w:pPr>
        <w:rPr>
          <w:rFonts w:hint="default" w:eastAsia="仿宋" w:cs="Times New Roman"/>
          <w:sz w:val="24"/>
          <w:szCs w:val="24"/>
        </w:rPr>
      </w:pPr>
      <w:r>
        <w:rPr>
          <w:rFonts w:hint="default" w:eastAsia="仿宋" w:cs="Times New Roman"/>
          <w:sz w:val="24"/>
          <w:szCs w:val="24"/>
        </w:rPr>
        <w:t>13、《中外建筑》</w:t>
      </w:r>
    </w:p>
    <w:p>
      <w:pPr>
        <w:rPr>
          <w:rFonts w:hint="default" w:eastAsia="仿宋" w:cs="Times New Roman"/>
          <w:sz w:val="24"/>
          <w:szCs w:val="24"/>
        </w:rPr>
      </w:pPr>
      <w:r>
        <w:rPr>
          <w:rFonts w:hint="default" w:eastAsia="仿宋" w:cs="Times New Roman"/>
          <w:sz w:val="24"/>
          <w:szCs w:val="24"/>
        </w:rPr>
        <w:t>14、《创意与设计》</w:t>
      </w:r>
    </w:p>
    <w:p>
      <w:pPr>
        <w:rPr>
          <w:rFonts w:hint="default" w:eastAsia="仿宋" w:cs="Times New Roman"/>
          <w:sz w:val="24"/>
          <w:szCs w:val="24"/>
        </w:rPr>
      </w:pPr>
      <w:r>
        <w:rPr>
          <w:rFonts w:hint="default" w:eastAsia="仿宋" w:cs="Times New Roman"/>
          <w:sz w:val="24"/>
          <w:szCs w:val="24"/>
        </w:rPr>
        <w:t>15、《小城镇建设》</w:t>
      </w:r>
    </w:p>
    <w:p>
      <w:pPr>
        <w:rPr>
          <w:rFonts w:hint="default" w:eastAsia="仿宋" w:cs="Times New Roman"/>
          <w:sz w:val="24"/>
          <w:szCs w:val="24"/>
        </w:rPr>
      </w:pPr>
      <w:r>
        <w:rPr>
          <w:rFonts w:hint="default" w:eastAsia="仿宋" w:cs="Times New Roman"/>
          <w:sz w:val="24"/>
          <w:szCs w:val="24"/>
        </w:rPr>
        <w:t>16、《上海城市规划》</w:t>
      </w:r>
    </w:p>
    <w:p>
      <w:pPr>
        <w:widowControl/>
        <w:jc w:val="left"/>
        <w:rPr>
          <w:rFonts w:ascii="Times New Roman" w:hAnsi="Times New Roman" w:eastAsia="仿宋" w:cs="Times New Roman"/>
          <w:sz w:val="24"/>
          <w:szCs w:val="24"/>
        </w:rPr>
      </w:pPr>
    </w:p>
    <w:p>
      <w:pPr>
        <w:rPr>
          <w:rFonts w:ascii="Times New Roman" w:hAnsi="Times New Roman" w:eastAsia="仿宋" w:cs="Times New Roman"/>
          <w:bCs/>
          <w:color w:val="000000" w:themeColor="text1"/>
          <w:sz w:val="24"/>
          <w:szCs w:val="24"/>
          <w14:textFill>
            <w14:solidFill>
              <w14:schemeClr w14:val="tx1"/>
            </w14:solidFill>
          </w14:textFill>
        </w:rPr>
      </w:pPr>
    </w:p>
    <w:p>
      <w:pPr>
        <w:pStyle w:val="15"/>
        <w:spacing w:line="420" w:lineRule="exact"/>
        <w:ind w:firstLine="0" w:firstLineChars="0"/>
        <w:rPr>
          <w:rFonts w:hint="default" w:ascii="Times New Roman" w:hAnsi="Times New Roman" w:eastAsia="仿宋"/>
          <w:b/>
          <w:bCs/>
          <w:kern w:val="0"/>
          <w:sz w:val="24"/>
        </w:rPr>
      </w:pPr>
      <w:r>
        <w:rPr>
          <w:rFonts w:hint="default" w:ascii="Times New Roman" w:hAnsi="Times New Roman" w:eastAsia="仿宋"/>
          <w:b/>
          <w:bCs/>
          <w:kern w:val="0"/>
          <w:sz w:val="24"/>
        </w:rPr>
        <w:t>附件2：</w:t>
      </w:r>
    </w:p>
    <w:p>
      <w:pPr>
        <w:jc w:val="center"/>
        <w:rPr>
          <w:rFonts w:hint="default" w:eastAsia="仿宋" w:cs="Times New Roman"/>
          <w:b/>
          <w:bCs/>
          <w:sz w:val="24"/>
          <w:szCs w:val="24"/>
        </w:rPr>
      </w:pPr>
      <w:r>
        <w:rPr>
          <w:rFonts w:hint="default" w:eastAsia="仿宋" w:cs="Times New Roman"/>
          <w:b/>
          <w:bCs/>
          <w:sz w:val="24"/>
          <w:szCs w:val="24"/>
        </w:rPr>
        <w:t>设计学全国性高影响力竞赛目录</w:t>
      </w:r>
    </w:p>
    <w:tbl>
      <w:tblPr>
        <w:tblStyle w:val="9"/>
        <w:tblW w:w="9486" w:type="dxa"/>
        <w:jc w:val="center"/>
        <w:tblLayout w:type="fixed"/>
        <w:tblCellMar>
          <w:top w:w="0" w:type="dxa"/>
          <w:left w:w="108" w:type="dxa"/>
          <w:bottom w:w="0" w:type="dxa"/>
          <w:right w:w="108" w:type="dxa"/>
        </w:tblCellMar>
      </w:tblPr>
      <w:tblGrid>
        <w:gridCol w:w="850"/>
        <w:gridCol w:w="4102"/>
        <w:gridCol w:w="2409"/>
        <w:gridCol w:w="2125"/>
      </w:tblGrid>
      <w:tr>
        <w:tblPrEx>
          <w:tblCellMar>
            <w:top w:w="0" w:type="dxa"/>
            <w:left w:w="108" w:type="dxa"/>
            <w:bottom w:w="0" w:type="dxa"/>
            <w:right w:w="108" w:type="dxa"/>
          </w:tblCellMar>
        </w:tblPrEx>
        <w:trPr>
          <w:trHeight w:val="394"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序号</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项目名称</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主办单位</w:t>
            </w:r>
          </w:p>
        </w:tc>
        <w:tc>
          <w:tcPr>
            <w:tcW w:w="2125" w:type="dxa"/>
            <w:tcBorders>
              <w:top w:val="single" w:color="000000" w:sz="8" w:space="0"/>
              <w:left w:val="single" w:color="000000" w:sz="8" w:space="0"/>
              <w:bottom w:val="single" w:color="000000" w:sz="8" w:space="0"/>
              <w:right w:val="single" w:color="000000" w:sz="8" w:space="0"/>
            </w:tcBorders>
            <w:shd w:val="clear" w:color="auto" w:fill="FFFFFF"/>
          </w:tcPr>
          <w:p>
            <w:pPr>
              <w:spacing w:line="300" w:lineRule="exact"/>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奖项级别</w:t>
            </w:r>
          </w:p>
        </w:tc>
      </w:tr>
      <w:tr>
        <w:tblPrEx>
          <w:tblCellMar>
            <w:top w:w="0" w:type="dxa"/>
            <w:left w:w="108" w:type="dxa"/>
            <w:bottom w:w="0" w:type="dxa"/>
            <w:right w:w="108" w:type="dxa"/>
          </w:tblCellMar>
        </w:tblPrEx>
        <w:trPr>
          <w:trHeight w:val="300"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sz w:val="24"/>
                <w:szCs w:val="24"/>
              </w:rPr>
            </w:pPr>
            <w:r>
              <w:rPr>
                <w:rFonts w:hint="default" w:eastAsia="仿宋" w:cs="Times New Roman"/>
                <w:kern w:val="0"/>
                <w:sz w:val="24"/>
                <w:szCs w:val="24"/>
                <w:lang w:bidi="ar"/>
              </w:rPr>
              <w:t>1</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红点设计大奖</w:t>
            </w:r>
          </w:p>
          <w:p>
            <w:pPr>
              <w:spacing w:line="300" w:lineRule="exact"/>
              <w:jc w:val="center"/>
              <w:rPr>
                <w:rFonts w:hint="default" w:eastAsia="仿宋" w:cs="Times New Roman"/>
                <w:sz w:val="24"/>
                <w:szCs w:val="24"/>
              </w:rPr>
            </w:pPr>
            <w:r>
              <w:rPr>
                <w:rFonts w:hint="default" w:eastAsia="仿宋" w:cs="Times New Roman"/>
                <w:sz w:val="24"/>
                <w:szCs w:val="24"/>
              </w:rPr>
              <w:t>（Red Dot Design Award）</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德国设计协会</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国家级</w:t>
            </w:r>
          </w:p>
        </w:tc>
      </w:tr>
      <w:tr>
        <w:tblPrEx>
          <w:tblCellMar>
            <w:top w:w="0" w:type="dxa"/>
            <w:left w:w="108" w:type="dxa"/>
            <w:bottom w:w="0" w:type="dxa"/>
            <w:right w:w="108" w:type="dxa"/>
          </w:tblCellMar>
        </w:tblPrEx>
        <w:trPr>
          <w:trHeight w:val="720" w:hRule="atLeast"/>
          <w:jc w:val="center"/>
        </w:trPr>
        <w:tc>
          <w:tcPr>
            <w:tcW w:w="850" w:type="dxa"/>
            <w:tcBorders>
              <w:top w:val="single" w:color="000000" w:sz="8" w:space="0"/>
              <w:left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sz w:val="24"/>
                <w:szCs w:val="24"/>
              </w:rPr>
            </w:pPr>
            <w:r>
              <w:rPr>
                <w:rFonts w:hint="default" w:eastAsia="仿宋" w:cs="Times New Roman"/>
                <w:kern w:val="0"/>
                <w:sz w:val="24"/>
                <w:szCs w:val="24"/>
                <w:lang w:bidi="ar"/>
              </w:rPr>
              <w:t>2</w:t>
            </w:r>
          </w:p>
        </w:tc>
        <w:tc>
          <w:tcPr>
            <w:tcW w:w="4102"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全国大学生广告艺术大赛</w:t>
            </w:r>
          </w:p>
        </w:tc>
        <w:tc>
          <w:tcPr>
            <w:tcW w:w="2409"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教育部高等学校新闻传播学类专业教学指导委员会等</w:t>
            </w:r>
          </w:p>
        </w:tc>
        <w:tc>
          <w:tcPr>
            <w:tcW w:w="2125"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国家级</w:t>
            </w:r>
          </w:p>
        </w:tc>
      </w:tr>
      <w:tr>
        <w:tblPrEx>
          <w:tblCellMar>
            <w:top w:w="0" w:type="dxa"/>
            <w:left w:w="108" w:type="dxa"/>
            <w:bottom w:w="0" w:type="dxa"/>
            <w:right w:w="108" w:type="dxa"/>
          </w:tblCellMar>
        </w:tblPrEx>
        <w:trPr>
          <w:trHeight w:val="698" w:hRule="atLeast"/>
          <w:jc w:val="center"/>
        </w:trPr>
        <w:tc>
          <w:tcPr>
            <w:tcW w:w="850" w:type="dxa"/>
            <w:tcBorders>
              <w:top w:val="single" w:color="000000" w:sz="8" w:space="0"/>
              <w:left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sz w:val="24"/>
                <w:szCs w:val="24"/>
              </w:rPr>
            </w:pPr>
            <w:r>
              <w:rPr>
                <w:rFonts w:hint="default" w:eastAsia="仿宋" w:cs="Times New Roman"/>
                <w:kern w:val="0"/>
                <w:sz w:val="24"/>
                <w:szCs w:val="24"/>
                <w:lang w:bidi="ar"/>
              </w:rPr>
              <w:t>3</w:t>
            </w:r>
          </w:p>
        </w:tc>
        <w:tc>
          <w:tcPr>
            <w:tcW w:w="4102"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全国大学生工业设计竞赛</w:t>
            </w:r>
          </w:p>
        </w:tc>
        <w:tc>
          <w:tcPr>
            <w:tcW w:w="2409"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教育部高等学校工业设计专业教学指导委员会</w:t>
            </w:r>
          </w:p>
        </w:tc>
        <w:tc>
          <w:tcPr>
            <w:tcW w:w="2125"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国家级</w:t>
            </w:r>
          </w:p>
        </w:tc>
      </w:tr>
      <w:tr>
        <w:tblPrEx>
          <w:tblCellMar>
            <w:top w:w="0" w:type="dxa"/>
            <w:left w:w="108" w:type="dxa"/>
            <w:bottom w:w="0" w:type="dxa"/>
            <w:right w:w="108" w:type="dxa"/>
          </w:tblCellMar>
        </w:tblPrEx>
        <w:trPr>
          <w:trHeight w:val="300"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4</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全国大学生可持续建筑设计竞赛</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全国高等学校建筑学学科专业指导委员会</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国家级</w:t>
            </w:r>
          </w:p>
        </w:tc>
      </w:tr>
      <w:tr>
        <w:tblPrEx>
          <w:tblCellMar>
            <w:top w:w="0" w:type="dxa"/>
            <w:left w:w="108" w:type="dxa"/>
            <w:bottom w:w="0" w:type="dxa"/>
            <w:right w:w="108" w:type="dxa"/>
          </w:tblCellMar>
        </w:tblPrEx>
        <w:trPr>
          <w:trHeight w:val="652"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5</w:t>
            </w:r>
          </w:p>
        </w:tc>
        <w:tc>
          <w:tcPr>
            <w:tcW w:w="6511"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教育部高等学校设计学相关专业教指委组织的专业竞赛</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国家级</w:t>
            </w:r>
          </w:p>
        </w:tc>
      </w:tr>
      <w:tr>
        <w:tblPrEx>
          <w:tblCellMar>
            <w:top w:w="0" w:type="dxa"/>
            <w:left w:w="108" w:type="dxa"/>
            <w:bottom w:w="0" w:type="dxa"/>
            <w:right w:w="108" w:type="dxa"/>
          </w:tblCellMar>
        </w:tblPrEx>
        <w:trPr>
          <w:trHeight w:val="539"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6</w:t>
            </w:r>
          </w:p>
        </w:tc>
        <w:tc>
          <w:tcPr>
            <w:tcW w:w="6511"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国家一级专业学会、国家一级专业协会组织的专业竞赛</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689"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7</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kern w:val="0"/>
                <w:sz w:val="24"/>
                <w:szCs w:val="24"/>
                <w:lang w:bidi="ar"/>
              </w:rPr>
            </w:pPr>
            <w:r>
              <w:rPr>
                <w:rFonts w:hint="default" w:eastAsia="仿宋" w:cs="Times New Roman"/>
                <w:kern w:val="0"/>
                <w:sz w:val="24"/>
                <w:szCs w:val="24"/>
                <w:lang w:bidi="ar"/>
              </w:rPr>
              <w:t>DIA（Design Intelligence Award）中国智造设计大奖</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中国美术学院</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708"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8</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亚洲设计学年奖</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亚洲城市与建筑联盟，亚洲设计学年奖组委会</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300"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9</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中国好创意暨全国数字艺术设计大赛</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全国高等院校计算机基础教育研究会</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689"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10</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未来设计师•全国高校数字艺术设计大赛</w:t>
            </w:r>
            <w:r>
              <w:rPr>
                <w:rFonts w:hint="default" w:eastAsia="仿宋" w:cs="Times New Roman"/>
                <w:kern w:val="0"/>
                <w:sz w:val="24"/>
                <w:szCs w:val="24"/>
                <w:lang w:bidi="ar"/>
              </w:rPr>
              <w:t>（NCDA）</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工业和信息化部人才交流中心</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300"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kern w:val="0"/>
                <w:sz w:val="24"/>
                <w:szCs w:val="24"/>
                <w:lang w:bidi="ar"/>
              </w:rPr>
            </w:pPr>
            <w:r>
              <w:rPr>
                <w:rFonts w:hint="default" w:eastAsia="仿宋" w:cs="Times New Roman"/>
                <w:kern w:val="0"/>
                <w:sz w:val="24"/>
                <w:szCs w:val="24"/>
                <w:lang w:bidi="ar"/>
              </w:rPr>
              <w:t>11</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全国三维数字化创新设计大赛</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中国三维数字化创新设计大赛组委会</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r>
        <w:tblPrEx>
          <w:tblCellMar>
            <w:top w:w="0" w:type="dxa"/>
            <w:left w:w="108" w:type="dxa"/>
            <w:bottom w:w="0" w:type="dxa"/>
            <w:right w:w="108" w:type="dxa"/>
          </w:tblCellMar>
        </w:tblPrEx>
        <w:trPr>
          <w:trHeight w:val="557" w:hRule="atLeast"/>
          <w:jc w:val="center"/>
        </w:trPr>
        <w:tc>
          <w:tcPr>
            <w:tcW w:w="8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textAlignment w:val="center"/>
              <w:rPr>
                <w:rFonts w:hint="default" w:eastAsia="仿宋" w:cs="Times New Roman"/>
                <w:sz w:val="24"/>
                <w:szCs w:val="24"/>
              </w:rPr>
            </w:pPr>
            <w:r>
              <w:rPr>
                <w:rFonts w:hint="default" w:eastAsia="仿宋" w:cs="Times New Roman"/>
                <w:sz w:val="24"/>
                <w:szCs w:val="24"/>
              </w:rPr>
              <w:t>12</w:t>
            </w:r>
          </w:p>
        </w:tc>
        <w:tc>
          <w:tcPr>
            <w:tcW w:w="410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中国五金产品国际工业设计大赛</w:t>
            </w:r>
          </w:p>
        </w:tc>
        <w:tc>
          <w:tcPr>
            <w:tcW w:w="24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eastAsia="仿宋" w:cs="Times New Roman"/>
                <w:sz w:val="24"/>
                <w:szCs w:val="24"/>
              </w:rPr>
            </w:pPr>
            <w:r>
              <w:rPr>
                <w:rFonts w:hint="default" w:eastAsia="仿宋" w:cs="Times New Roman"/>
                <w:sz w:val="24"/>
                <w:szCs w:val="24"/>
              </w:rPr>
              <w:t>永康市人民政府</w:t>
            </w:r>
          </w:p>
        </w:tc>
        <w:tc>
          <w:tcPr>
            <w:tcW w:w="21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hint="default" w:eastAsia="仿宋" w:cs="Times New Roman"/>
                <w:sz w:val="24"/>
                <w:szCs w:val="24"/>
              </w:rPr>
            </w:pPr>
            <w:r>
              <w:rPr>
                <w:rFonts w:hint="default" w:eastAsia="仿宋" w:cs="Times New Roman"/>
                <w:sz w:val="24"/>
                <w:szCs w:val="24"/>
              </w:rPr>
              <w:t>其他</w:t>
            </w:r>
          </w:p>
        </w:tc>
      </w:tr>
    </w:tbl>
    <w:p>
      <w:pPr>
        <w:rPr>
          <w:rFonts w:hint="default"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pStyle w:val="15"/>
        <w:spacing w:line="420" w:lineRule="exact"/>
        <w:ind w:firstLine="0" w:firstLineChars="0"/>
        <w:rPr>
          <w:rFonts w:hint="default" w:ascii="Times New Roman" w:hAnsi="Times New Roman" w:eastAsia="仿宋"/>
          <w:sz w:val="24"/>
        </w:rPr>
      </w:pPr>
      <w:r>
        <w:rPr>
          <w:rFonts w:hint="default" w:ascii="Times New Roman" w:hAnsi="Times New Roman" w:eastAsia="仿宋"/>
          <w:b/>
          <w:bCs/>
          <w:kern w:val="0"/>
          <w:sz w:val="24"/>
        </w:rPr>
        <w:t>附件3：</w:t>
      </w:r>
    </w:p>
    <w:p>
      <w:pPr>
        <w:jc w:val="center"/>
        <w:rPr>
          <w:rFonts w:hint="default" w:eastAsia="仿宋" w:cs="Times New Roman"/>
          <w:b/>
          <w:bCs/>
          <w:sz w:val="24"/>
          <w:szCs w:val="24"/>
        </w:rPr>
      </w:pPr>
      <w:r>
        <w:rPr>
          <w:rFonts w:hint="default" w:eastAsia="仿宋" w:cs="Times New Roman"/>
          <w:b/>
          <w:bCs/>
          <w:sz w:val="24"/>
          <w:szCs w:val="24"/>
        </w:rPr>
        <w:t>艺术设计代表性学术会议目录</w:t>
      </w:r>
    </w:p>
    <w:p>
      <w:pPr>
        <w:rPr>
          <w:rFonts w:hint="default" w:eastAsia="仿宋" w:cs="Times New Roman"/>
          <w:sz w:val="24"/>
          <w:szCs w:val="24"/>
        </w:rPr>
      </w:pPr>
    </w:p>
    <w:p>
      <w:pPr>
        <w:spacing w:line="288" w:lineRule="auto"/>
        <w:rPr>
          <w:rFonts w:hint="default" w:eastAsia="仿宋" w:cs="Times New Roman"/>
          <w:sz w:val="24"/>
          <w:szCs w:val="24"/>
        </w:rPr>
      </w:pPr>
      <w:r>
        <w:rPr>
          <w:rFonts w:hint="default" w:eastAsia="仿宋" w:cs="Times New Roman"/>
          <w:sz w:val="24"/>
          <w:szCs w:val="24"/>
        </w:rPr>
        <w:t>1、中国雕塑论坛</w:t>
      </w:r>
    </w:p>
    <w:p>
      <w:pPr>
        <w:spacing w:line="288" w:lineRule="auto"/>
        <w:rPr>
          <w:rFonts w:hint="default" w:eastAsia="仿宋" w:cs="Times New Roman"/>
          <w:sz w:val="24"/>
          <w:szCs w:val="24"/>
        </w:rPr>
      </w:pPr>
      <w:r>
        <w:rPr>
          <w:rFonts w:hint="default" w:eastAsia="仿宋" w:cs="Times New Roman"/>
          <w:sz w:val="24"/>
          <w:szCs w:val="24"/>
        </w:rPr>
        <w:t>2、中国城市规划年会</w:t>
      </w:r>
    </w:p>
    <w:p>
      <w:pPr>
        <w:spacing w:line="288" w:lineRule="auto"/>
        <w:rPr>
          <w:rFonts w:hint="default" w:eastAsia="仿宋" w:cs="Times New Roman"/>
          <w:sz w:val="24"/>
          <w:szCs w:val="24"/>
        </w:rPr>
      </w:pPr>
      <w:r>
        <w:rPr>
          <w:rFonts w:hint="default" w:eastAsia="仿宋" w:cs="Times New Roman"/>
          <w:sz w:val="24"/>
          <w:szCs w:val="24"/>
        </w:rPr>
        <w:t>3、中国数字传媒教育与发展论坛</w:t>
      </w: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sz w:val="24"/>
          <w:szCs w:val="24"/>
        </w:rPr>
      </w:pPr>
    </w:p>
    <w:p>
      <w:pPr>
        <w:rPr>
          <w:rFonts w:ascii="Times New Roman" w:hAnsi="Times New Roman" w:eastAsia="仿宋" w:cs="Times New Roman"/>
          <w:b/>
          <w:bCs/>
          <w:sz w:val="24"/>
          <w:szCs w:val="24"/>
        </w:rPr>
      </w:pPr>
      <w:r>
        <w:rPr>
          <w:rFonts w:hint="default" w:ascii="Times New Roman" w:hAnsi="Times New Roman" w:eastAsia="仿宋" w:cs="Times New Roman"/>
          <w:b/>
          <w:bCs/>
          <w:sz w:val="24"/>
          <w:szCs w:val="24"/>
        </w:rPr>
        <w:t>附件4</w:t>
      </w:r>
      <w:r>
        <w:rPr>
          <w:rFonts w:ascii="Times New Roman" w:hAnsi="Times New Roman" w:eastAsia="仿宋" w:cs="Times New Roman"/>
          <w:b/>
          <w:bCs/>
          <w:sz w:val="24"/>
          <w:szCs w:val="24"/>
        </w:rPr>
        <w:t>:</w:t>
      </w:r>
    </w:p>
    <w:p>
      <w:pPr>
        <w:jc w:val="center"/>
        <w:rPr>
          <w:rFonts w:hint="default" w:eastAsia="仿宋" w:cs="Times New Roman"/>
          <w:b/>
          <w:bCs/>
          <w:sz w:val="24"/>
          <w:szCs w:val="24"/>
        </w:rPr>
      </w:pPr>
      <w:r>
        <w:rPr>
          <w:rFonts w:hint="default" w:eastAsia="仿宋" w:cs="Times New Roman"/>
          <w:b/>
          <w:bCs/>
          <w:sz w:val="24"/>
          <w:szCs w:val="24"/>
        </w:rPr>
        <w:t>艺术设计高影响力展览目录</w:t>
      </w:r>
    </w:p>
    <w:p>
      <w:pPr>
        <w:rPr>
          <w:rFonts w:ascii="Times New Roman" w:hAnsi="Times New Roman" w:eastAsia="仿宋" w:cs="Times New Roman"/>
          <w:sz w:val="24"/>
          <w:szCs w:val="24"/>
        </w:rPr>
      </w:pPr>
    </w:p>
    <w:p>
      <w:pPr>
        <w:rPr>
          <w:rFonts w:hint="default" w:eastAsia="仿宋" w:cs="Times New Roman"/>
          <w:sz w:val="24"/>
          <w:szCs w:val="24"/>
        </w:rPr>
      </w:pPr>
      <w:r>
        <w:rPr>
          <w:rFonts w:hint="default" w:eastAsia="仿宋" w:cs="Times New Roman"/>
          <w:sz w:val="24"/>
          <w:szCs w:val="24"/>
        </w:rPr>
        <w:t>1、全国美展</w:t>
      </w:r>
    </w:p>
    <w:p>
      <w:pPr>
        <w:rPr>
          <w:rFonts w:hint="default" w:eastAsia="仿宋" w:cs="Times New Roman"/>
          <w:sz w:val="24"/>
          <w:szCs w:val="24"/>
        </w:rPr>
      </w:pPr>
      <w:r>
        <w:rPr>
          <w:rFonts w:hint="default" w:eastAsia="仿宋" w:cs="Times New Roman"/>
          <w:sz w:val="24"/>
          <w:szCs w:val="24"/>
        </w:rPr>
        <w:t>2、中国设计大展</w:t>
      </w:r>
    </w:p>
    <w:p>
      <w:pPr>
        <w:rPr>
          <w:rFonts w:hint="default" w:eastAsia="仿宋" w:cs="Times New Roman"/>
          <w:sz w:val="24"/>
          <w:szCs w:val="24"/>
        </w:rPr>
      </w:pPr>
      <w:r>
        <w:rPr>
          <w:rFonts w:hint="default" w:eastAsia="仿宋" w:cs="Times New Roman"/>
          <w:sz w:val="24"/>
          <w:szCs w:val="24"/>
        </w:rPr>
        <w:t>3、意大利米兰设计周中国高等院校设计学科师生优秀作品展</w:t>
      </w:r>
    </w:p>
    <w:p>
      <w:pPr>
        <w:rPr>
          <w:rFonts w:hint="default" w:eastAsia="仿宋" w:cs="Times New Roman"/>
          <w:sz w:val="24"/>
          <w:szCs w:val="24"/>
        </w:rPr>
      </w:pPr>
      <w:r>
        <w:rPr>
          <w:rFonts w:hint="default" w:eastAsia="仿宋" w:cs="Times New Roman"/>
          <w:sz w:val="24"/>
          <w:szCs w:val="24"/>
        </w:rPr>
        <w:t>4、学生艺术设计作品在省级及以上博物馆、美术馆参展</w:t>
      </w:r>
    </w:p>
    <w:p>
      <w:pPr>
        <w:widowControl/>
        <w:jc w:val="left"/>
        <w:rPr>
          <w:rFonts w:hint="default" w:ascii="Times New Roman" w:hAnsi="Times New Roman" w:eastAsia="仿宋" w:cs="Times New Roman"/>
          <w:b/>
          <w:color w:val="2B2B2B"/>
          <w:sz w:val="24"/>
          <w:szCs w:val="24"/>
          <w:shd w:val="clear" w:color="auto" w:fill="FFFFFF"/>
        </w:rPr>
      </w:pPr>
    </w:p>
    <w:p>
      <w:pPr>
        <w:jc w:val="left"/>
        <w:rPr>
          <w:rFonts w:hint="default"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附件5:</w:t>
      </w:r>
    </w:p>
    <w:p>
      <w:pPr>
        <w:jc w:val="center"/>
        <w:rPr>
          <w:rFonts w:hint="default"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建筑学学位授权点代表性专业竞赛目录</w:t>
      </w:r>
    </w:p>
    <w:tbl>
      <w:tblPr>
        <w:tblStyle w:val="9"/>
        <w:tblW w:w="7967"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5"/>
        <w:gridCol w:w="3540"/>
        <w:gridCol w:w="3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等级</w:t>
            </w:r>
          </w:p>
        </w:tc>
        <w:tc>
          <w:tcPr>
            <w:tcW w:w="3540"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竞赛名称</w:t>
            </w:r>
          </w:p>
        </w:tc>
        <w:tc>
          <w:tcPr>
            <w:tcW w:w="3402"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主办方或指导方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restart"/>
            <w:vAlign w:val="center"/>
          </w:tcPr>
          <w:p>
            <w:pPr>
              <w:jc w:val="cente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国家级</w:t>
            </w: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国际建筑师协会（UIA）世界大学生建筑设计竞赛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国际建筑师协会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亚洲建协学生建筑设计竞赛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亚洲建协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IFLA国际学生景观设计竞赛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国际风景园林师学会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trPr>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“UIA-霍普杯”国际大学生建筑设计竞赛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国际建筑师协会建筑学教指委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谷雨杯全国大学生可持续建筑设计竞赛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建筑学教指委建筑数字技术教学工作委员会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国际太阳能建筑设计竞赛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国际太阳能学会中国可再生能源学会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“中联杯”大学生建筑设计国际竞赛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建筑学教指委</w:t>
            </w:r>
          </w:p>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中国联合工程公司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trPr>
        <w:tc>
          <w:tcPr>
            <w:tcW w:w="1025"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“威海杯”全国大学生建筑设计方案竞赛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中国建筑学会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025" w:type="dxa"/>
            <w:vMerge w:val="continue"/>
            <w:tcBorders>
              <w:bottom w:val="single" w:color="auto" w:sz="4" w:space="0"/>
            </w:tcBorders>
            <w:vAlign w:val="center"/>
          </w:tcPr>
          <w:p>
            <w:pPr>
              <w:jc w:val="center"/>
              <w:rPr>
                <w:rFonts w:ascii="Times New Roman" w:hAnsi="Times New Roman" w:eastAsia="仿宋" w:cs="Times New Roman"/>
                <w:color w:val="2B2B2B"/>
                <w:sz w:val="24"/>
                <w:szCs w:val="24"/>
                <w:shd w:val="clear" w:color="auto" w:fill="FFFFFF"/>
              </w:rPr>
            </w:pPr>
          </w:p>
        </w:tc>
        <w:tc>
          <w:tcPr>
            <w:tcW w:w="3540"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“清润奖”全国大学生论文竞赛</w:t>
            </w:r>
          </w:p>
        </w:tc>
        <w:tc>
          <w:tcPr>
            <w:tcW w:w="3402"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建筑学教指委</w:t>
            </w:r>
          </w:p>
        </w:tc>
      </w:tr>
    </w:tbl>
    <w:p>
      <w:pP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注：凡国家一级学会作为主办方或指导方的有关建筑规划、景观类设计竞赛可视为国家级竞赛（不在本目录中的竞赛，经学院学位分委员会或学术委员会认定）。设计学及城乡规划学科认可的国家级及以上与建筑学相关的设计竞赛本学科也予以认可。</w:t>
      </w:r>
    </w:p>
    <w:p>
      <w:pPr>
        <w:jc w:val="left"/>
        <w:rPr>
          <w:rFonts w:hint="default" w:ascii="Times New Roman" w:hAnsi="Times New Roman" w:eastAsia="仿宋" w:cs="Times New Roman"/>
          <w:b/>
          <w:color w:val="2B2B2B"/>
          <w:sz w:val="24"/>
          <w:szCs w:val="24"/>
          <w:shd w:val="clear" w:color="auto" w:fill="FFFFFF"/>
        </w:rPr>
      </w:pPr>
    </w:p>
    <w:p>
      <w:pPr>
        <w:jc w:val="left"/>
        <w:rPr>
          <w:rFonts w:hint="default" w:ascii="Times New Roman" w:hAnsi="Times New Roman" w:eastAsia="仿宋" w:cs="Times New Roman"/>
          <w:b/>
          <w:color w:val="2B2B2B"/>
          <w:sz w:val="24"/>
          <w:szCs w:val="24"/>
          <w:shd w:val="clear" w:color="auto" w:fill="FFFFFF"/>
        </w:rPr>
      </w:pPr>
    </w:p>
    <w:p>
      <w:pPr>
        <w:jc w:val="left"/>
        <w:rPr>
          <w:rFonts w:hint="default" w:ascii="Times New Roman" w:hAnsi="Times New Roman" w:eastAsia="仿宋" w:cs="Times New Roman"/>
          <w:b/>
          <w:color w:val="2B2B2B"/>
          <w:sz w:val="24"/>
          <w:szCs w:val="24"/>
          <w:shd w:val="clear" w:color="auto" w:fill="FFFFFF"/>
        </w:rPr>
      </w:pPr>
    </w:p>
    <w:p>
      <w:pPr>
        <w:jc w:val="left"/>
        <w:rPr>
          <w:rFonts w:hint="default"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附件6:</w:t>
      </w:r>
    </w:p>
    <w:p>
      <w:pPr>
        <w:jc w:val="center"/>
        <w:rPr>
          <w:rFonts w:hint="default"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城乡规划学科研究生代表性专业竞赛目录</w:t>
      </w:r>
    </w:p>
    <w:tbl>
      <w:tblPr>
        <w:tblStyle w:val="9"/>
        <w:tblW w:w="7786" w:type="dxa"/>
        <w:tblInd w:w="-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6"/>
        <w:gridCol w:w="1185"/>
        <w:gridCol w:w="58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6"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等级</w:t>
            </w:r>
          </w:p>
        </w:tc>
        <w:tc>
          <w:tcPr>
            <w:tcW w:w="1185"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竞赛名称</w:t>
            </w:r>
          </w:p>
        </w:tc>
        <w:tc>
          <w:tcPr>
            <w:tcW w:w="5865" w:type="dxa"/>
          </w:tcPr>
          <w:p>
            <w:pPr>
              <w:jc w:val="center"/>
              <w:rPr>
                <w:rFonts w:ascii="Times New Roman" w:hAnsi="Times New Roman" w:eastAsia="仿宋" w:cs="Times New Roman"/>
                <w:b/>
                <w:color w:val="2B2B2B"/>
                <w:sz w:val="24"/>
                <w:szCs w:val="24"/>
                <w:shd w:val="clear" w:color="auto" w:fill="FFFFFF"/>
              </w:rPr>
            </w:pPr>
            <w:r>
              <w:rPr>
                <w:rFonts w:hint="default" w:ascii="Times New Roman" w:hAnsi="Times New Roman" w:eastAsia="仿宋" w:cs="Times New Roman"/>
                <w:b/>
                <w:color w:val="2B2B2B"/>
                <w:sz w:val="24"/>
                <w:szCs w:val="24"/>
                <w:shd w:val="clear" w:color="auto" w:fill="FFFFFF"/>
              </w:rPr>
              <w:t>主办方或指导方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 w:hRule="atLeast"/>
        </w:trPr>
        <w:tc>
          <w:tcPr>
            <w:tcW w:w="736" w:type="dxa"/>
            <w:vMerge w:val="restart"/>
            <w:vAlign w:val="center"/>
          </w:tcPr>
          <w:p>
            <w:pPr>
              <w:jc w:val="cente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国家级</w:t>
            </w:r>
          </w:p>
        </w:tc>
        <w:tc>
          <w:tcPr>
            <w:tcW w:w="1185" w:type="dxa"/>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城市设计学生作业国际竞赛</w:t>
            </w:r>
          </w:p>
        </w:tc>
        <w:tc>
          <w:tcPr>
            <w:tcW w:w="5865"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世界规划教育组织WUPEN（World Urban Planning Education Network）、国际工程科技知识中心智能城市分平台（iCity Knowledge Service System）、城乡空间规划前沿期刊《GUIHUA：Urban and Rural Spatial Planning Frontier》联合举办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3" w:hRule="atLeast"/>
        </w:trPr>
        <w:tc>
          <w:tcPr>
            <w:tcW w:w="736"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1185" w:type="dxa"/>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城市可持续调研报告国际竞赛</w:t>
            </w:r>
          </w:p>
        </w:tc>
        <w:tc>
          <w:tcPr>
            <w:tcW w:w="5865"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世界规划教育组织WUPEN（World Urban Planning Education Network）、国际工程科技知识中心智能城市分平台（iCity Knowledge Service System）、城乡空间规划前沿期刊《GUIHUA：Urban and Rural Spatial Planning Frontier》联合举办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trPr>
        <w:tc>
          <w:tcPr>
            <w:tcW w:w="736" w:type="dxa"/>
            <w:vMerge w:val="continue"/>
            <w:vAlign w:val="center"/>
          </w:tcPr>
          <w:p>
            <w:pPr>
              <w:jc w:val="center"/>
              <w:rPr>
                <w:rFonts w:ascii="Times New Roman" w:hAnsi="Times New Roman" w:eastAsia="仿宋" w:cs="Times New Roman"/>
                <w:color w:val="2B2B2B"/>
                <w:sz w:val="24"/>
                <w:szCs w:val="24"/>
                <w:shd w:val="clear" w:color="auto" w:fill="FFFFFF"/>
              </w:rPr>
            </w:pPr>
          </w:p>
        </w:tc>
        <w:tc>
          <w:tcPr>
            <w:tcW w:w="1185" w:type="dxa"/>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全国大学生国土空间规划设计竞赛</w:t>
            </w:r>
          </w:p>
        </w:tc>
        <w:tc>
          <w:tcPr>
            <w:tcW w:w="5865" w:type="dxa"/>
            <w:vAlign w:val="center"/>
          </w:tcPr>
          <w:p>
            <w:pPr>
              <w:rPr>
                <w:rFonts w:ascii="Times New Roman" w:hAnsi="Times New Roman" w:eastAsia="仿宋" w:cs="Times New Roman"/>
                <w:color w:val="2B2B2B"/>
                <w:sz w:val="24"/>
                <w:szCs w:val="24"/>
                <w:shd w:val="clear" w:color="auto" w:fill="FFFFFF"/>
              </w:rPr>
            </w:pPr>
            <w:r>
              <w:rPr>
                <w:rFonts w:hint="default" w:ascii="Times New Roman" w:hAnsi="Times New Roman" w:eastAsia="仿宋" w:cs="Times New Roman"/>
                <w:color w:val="2B2B2B"/>
                <w:sz w:val="24"/>
                <w:szCs w:val="24"/>
                <w:shd w:val="clear" w:color="auto" w:fill="FFFFFF"/>
              </w:rPr>
              <w:t>自然资源部职业技能鉴定指导中心</w:t>
            </w:r>
          </w:p>
        </w:tc>
      </w:tr>
    </w:tbl>
    <w:p>
      <w:pPr>
        <w:pStyle w:val="15"/>
        <w:spacing w:line="420" w:lineRule="exact"/>
        <w:ind w:firstLine="0" w:firstLineChars="0"/>
        <w:rPr>
          <w:rFonts w:hint="default" w:ascii="Times New Roman" w:hAnsi="Times New Roman" w:eastAsia="仿宋"/>
          <w:kern w:val="0"/>
          <w:sz w:val="24"/>
        </w:rPr>
      </w:pPr>
    </w:p>
    <w:sectPr>
      <w:footerReference r:id="rId3" w:type="default"/>
      <w:pgSz w:w="11900" w:h="16840"/>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ongti SC">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0B2155"/>
    <w:multiLevelType w:val="multilevel"/>
    <w:tmpl w:val="2A0B2155"/>
    <w:lvl w:ilvl="0" w:tentative="0">
      <w:start w:val="1"/>
      <w:numFmt w:val="none"/>
      <w:lvlText w:val="一、"/>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2ODc4ZTJiYzBkMTI3NmEwZTlmMDg3MDQ4M2VlMWYifQ=="/>
  </w:docVars>
  <w:rsids>
    <w:rsidRoot w:val="006032CC"/>
    <w:rsid w:val="00002543"/>
    <w:rsid w:val="000130DE"/>
    <w:rsid w:val="0001324A"/>
    <w:rsid w:val="00023AFF"/>
    <w:rsid w:val="000435CC"/>
    <w:rsid w:val="0005444E"/>
    <w:rsid w:val="00057D1B"/>
    <w:rsid w:val="000609A5"/>
    <w:rsid w:val="0006715D"/>
    <w:rsid w:val="00073879"/>
    <w:rsid w:val="00080719"/>
    <w:rsid w:val="000A36FA"/>
    <w:rsid w:val="000B18BD"/>
    <w:rsid w:val="000B77A1"/>
    <w:rsid w:val="000C4E1B"/>
    <w:rsid w:val="000D4B3E"/>
    <w:rsid w:val="000E4D31"/>
    <w:rsid w:val="001170F6"/>
    <w:rsid w:val="00122FB5"/>
    <w:rsid w:val="001308FC"/>
    <w:rsid w:val="001408C1"/>
    <w:rsid w:val="00143B52"/>
    <w:rsid w:val="00152497"/>
    <w:rsid w:val="00152F02"/>
    <w:rsid w:val="001557FA"/>
    <w:rsid w:val="0015638E"/>
    <w:rsid w:val="00165449"/>
    <w:rsid w:val="00184AC2"/>
    <w:rsid w:val="001B5ACC"/>
    <w:rsid w:val="001D799A"/>
    <w:rsid w:val="001E661B"/>
    <w:rsid w:val="001F4B1B"/>
    <w:rsid w:val="001F533E"/>
    <w:rsid w:val="001F6656"/>
    <w:rsid w:val="00223FAF"/>
    <w:rsid w:val="00244366"/>
    <w:rsid w:val="00253E4B"/>
    <w:rsid w:val="0029632D"/>
    <w:rsid w:val="002A203E"/>
    <w:rsid w:val="002C7607"/>
    <w:rsid w:val="002F5AFA"/>
    <w:rsid w:val="0034317C"/>
    <w:rsid w:val="00352F1F"/>
    <w:rsid w:val="0035657F"/>
    <w:rsid w:val="00356AFA"/>
    <w:rsid w:val="003706A2"/>
    <w:rsid w:val="00375636"/>
    <w:rsid w:val="0038405E"/>
    <w:rsid w:val="00386902"/>
    <w:rsid w:val="0039115A"/>
    <w:rsid w:val="003B685A"/>
    <w:rsid w:val="003D6B6E"/>
    <w:rsid w:val="00400A73"/>
    <w:rsid w:val="00431EE5"/>
    <w:rsid w:val="00432E8D"/>
    <w:rsid w:val="00462E8A"/>
    <w:rsid w:val="00490D10"/>
    <w:rsid w:val="004C6480"/>
    <w:rsid w:val="004D5A53"/>
    <w:rsid w:val="004D732F"/>
    <w:rsid w:val="004E3FD2"/>
    <w:rsid w:val="004E7330"/>
    <w:rsid w:val="0050430A"/>
    <w:rsid w:val="00513618"/>
    <w:rsid w:val="005148E6"/>
    <w:rsid w:val="00523C82"/>
    <w:rsid w:val="0052588A"/>
    <w:rsid w:val="005310D5"/>
    <w:rsid w:val="00554B8D"/>
    <w:rsid w:val="00560A3B"/>
    <w:rsid w:val="005646D8"/>
    <w:rsid w:val="00573E0D"/>
    <w:rsid w:val="00587E62"/>
    <w:rsid w:val="005A7D26"/>
    <w:rsid w:val="005A7F7D"/>
    <w:rsid w:val="005B7DF2"/>
    <w:rsid w:val="005C1049"/>
    <w:rsid w:val="005D2C41"/>
    <w:rsid w:val="005D3D94"/>
    <w:rsid w:val="005D77A0"/>
    <w:rsid w:val="005F348F"/>
    <w:rsid w:val="006032CC"/>
    <w:rsid w:val="00633093"/>
    <w:rsid w:val="00640B52"/>
    <w:rsid w:val="00683E51"/>
    <w:rsid w:val="006901B2"/>
    <w:rsid w:val="00695700"/>
    <w:rsid w:val="006A5BBE"/>
    <w:rsid w:val="006D3814"/>
    <w:rsid w:val="006E73E3"/>
    <w:rsid w:val="006E79F5"/>
    <w:rsid w:val="007050AC"/>
    <w:rsid w:val="007331E8"/>
    <w:rsid w:val="007422B4"/>
    <w:rsid w:val="00744D71"/>
    <w:rsid w:val="00782E0E"/>
    <w:rsid w:val="007878BC"/>
    <w:rsid w:val="007D375D"/>
    <w:rsid w:val="007D4E24"/>
    <w:rsid w:val="007E5C91"/>
    <w:rsid w:val="007F297C"/>
    <w:rsid w:val="00815476"/>
    <w:rsid w:val="00850087"/>
    <w:rsid w:val="00865DC8"/>
    <w:rsid w:val="008854E1"/>
    <w:rsid w:val="008A535D"/>
    <w:rsid w:val="008F416B"/>
    <w:rsid w:val="009011DA"/>
    <w:rsid w:val="00901D95"/>
    <w:rsid w:val="00936EA7"/>
    <w:rsid w:val="009631EF"/>
    <w:rsid w:val="0098158A"/>
    <w:rsid w:val="009823F3"/>
    <w:rsid w:val="00992EF7"/>
    <w:rsid w:val="009C64CE"/>
    <w:rsid w:val="009D32F2"/>
    <w:rsid w:val="00A21DA8"/>
    <w:rsid w:val="00A3793D"/>
    <w:rsid w:val="00A4229F"/>
    <w:rsid w:val="00A50742"/>
    <w:rsid w:val="00A772B4"/>
    <w:rsid w:val="00AA52DA"/>
    <w:rsid w:val="00AB4200"/>
    <w:rsid w:val="00AD2A8A"/>
    <w:rsid w:val="00AE7BCC"/>
    <w:rsid w:val="00AF0495"/>
    <w:rsid w:val="00AF2A8C"/>
    <w:rsid w:val="00B04740"/>
    <w:rsid w:val="00B134AA"/>
    <w:rsid w:val="00B14F54"/>
    <w:rsid w:val="00B83E48"/>
    <w:rsid w:val="00B9209E"/>
    <w:rsid w:val="00B92F2D"/>
    <w:rsid w:val="00BA3A0D"/>
    <w:rsid w:val="00BA6514"/>
    <w:rsid w:val="00BB1980"/>
    <w:rsid w:val="00BB3204"/>
    <w:rsid w:val="00BD4020"/>
    <w:rsid w:val="00BE6513"/>
    <w:rsid w:val="00BF0CD7"/>
    <w:rsid w:val="00C2697F"/>
    <w:rsid w:val="00CA470F"/>
    <w:rsid w:val="00CF0080"/>
    <w:rsid w:val="00CF6317"/>
    <w:rsid w:val="00D17DB2"/>
    <w:rsid w:val="00D34E51"/>
    <w:rsid w:val="00D77CD2"/>
    <w:rsid w:val="00D94F05"/>
    <w:rsid w:val="00DC39BF"/>
    <w:rsid w:val="00DC631F"/>
    <w:rsid w:val="00DD4FEB"/>
    <w:rsid w:val="00DD7FDC"/>
    <w:rsid w:val="00DE5E45"/>
    <w:rsid w:val="00E00C39"/>
    <w:rsid w:val="00E03593"/>
    <w:rsid w:val="00E03FFC"/>
    <w:rsid w:val="00E16CB6"/>
    <w:rsid w:val="00E6276C"/>
    <w:rsid w:val="00E9347C"/>
    <w:rsid w:val="00EC6700"/>
    <w:rsid w:val="00EF5E08"/>
    <w:rsid w:val="00F0017C"/>
    <w:rsid w:val="00F27CFE"/>
    <w:rsid w:val="00F330ED"/>
    <w:rsid w:val="00F41C70"/>
    <w:rsid w:val="00F546EC"/>
    <w:rsid w:val="00F664FA"/>
    <w:rsid w:val="00F66E42"/>
    <w:rsid w:val="00FF3F5A"/>
    <w:rsid w:val="01AF6F45"/>
    <w:rsid w:val="020E2CE9"/>
    <w:rsid w:val="03E47ECB"/>
    <w:rsid w:val="08B641E1"/>
    <w:rsid w:val="0A92211A"/>
    <w:rsid w:val="0AF625C3"/>
    <w:rsid w:val="11A723AA"/>
    <w:rsid w:val="11C9261E"/>
    <w:rsid w:val="13516249"/>
    <w:rsid w:val="160077F4"/>
    <w:rsid w:val="171E4829"/>
    <w:rsid w:val="17765537"/>
    <w:rsid w:val="18B27ECB"/>
    <w:rsid w:val="1B075BBD"/>
    <w:rsid w:val="1C1B270D"/>
    <w:rsid w:val="1DB63878"/>
    <w:rsid w:val="1FF0641C"/>
    <w:rsid w:val="2038180C"/>
    <w:rsid w:val="2457451E"/>
    <w:rsid w:val="24CC0456"/>
    <w:rsid w:val="26F45EBE"/>
    <w:rsid w:val="2ABF2F4A"/>
    <w:rsid w:val="2CBA4A07"/>
    <w:rsid w:val="2E8228D1"/>
    <w:rsid w:val="357A7CF0"/>
    <w:rsid w:val="3ACC0766"/>
    <w:rsid w:val="4029482F"/>
    <w:rsid w:val="42416CF7"/>
    <w:rsid w:val="45297B20"/>
    <w:rsid w:val="4B0709C0"/>
    <w:rsid w:val="4CA30BBC"/>
    <w:rsid w:val="5A192935"/>
    <w:rsid w:val="5CA656B4"/>
    <w:rsid w:val="5CA67CF4"/>
    <w:rsid w:val="5D72616D"/>
    <w:rsid w:val="5DB949BF"/>
    <w:rsid w:val="5F232208"/>
    <w:rsid w:val="5FAF5583"/>
    <w:rsid w:val="60284364"/>
    <w:rsid w:val="61D770D4"/>
    <w:rsid w:val="649B10C0"/>
    <w:rsid w:val="661F70AE"/>
    <w:rsid w:val="664D2420"/>
    <w:rsid w:val="66754F1F"/>
    <w:rsid w:val="66F4252C"/>
    <w:rsid w:val="68F12EDD"/>
    <w:rsid w:val="69A37C07"/>
    <w:rsid w:val="6A55315F"/>
    <w:rsid w:val="6CF77747"/>
    <w:rsid w:val="6D044630"/>
    <w:rsid w:val="70AC375C"/>
    <w:rsid w:val="742D5347"/>
    <w:rsid w:val="75B81421"/>
    <w:rsid w:val="79E120FD"/>
    <w:rsid w:val="7ACC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paragraph" w:styleId="2">
    <w:name w:val="heading 2"/>
    <w:basedOn w:val="1"/>
    <w:next w:val="1"/>
    <w:link w:val="14"/>
    <w:qFormat/>
    <w:uiPriority w:val="0"/>
    <w:pPr>
      <w:spacing w:line="700" w:lineRule="exact"/>
      <w:jc w:val="center"/>
      <w:outlineLvl w:val="1"/>
    </w:pPr>
    <w:rPr>
      <w:rFonts w:ascii="微软雅黑" w:hAnsi="微软雅黑" w:eastAsia="微软雅黑" w:cs="Times New Roman"/>
      <w:b/>
      <w:bCs/>
      <w:kern w:val="0"/>
      <w:sz w:val="36"/>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21"/>
    <w:semiHidden/>
    <w:unhideWhenUsed/>
    <w:qFormat/>
    <w:uiPriority w:val="99"/>
    <w:rPr>
      <w:rFonts w:ascii="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character" w:customStyle="1" w:styleId="14">
    <w:name w:val="标题 2 字符"/>
    <w:basedOn w:val="11"/>
    <w:link w:val="2"/>
    <w:qFormat/>
    <w:uiPriority w:val="0"/>
    <w:rPr>
      <w:rFonts w:ascii="微软雅黑" w:hAnsi="微软雅黑" w:eastAsia="微软雅黑" w:cs="Times New Roman"/>
      <w:b/>
      <w:bCs/>
      <w:kern w:val="0"/>
      <w:sz w:val="36"/>
      <w:szCs w:val="36"/>
    </w:rPr>
  </w:style>
  <w:style w:type="paragraph" w:customStyle="1" w:styleId="15">
    <w:name w:val="列出段落1"/>
    <w:basedOn w:val="1"/>
    <w:qFormat/>
    <w:uiPriority w:val="99"/>
    <w:pPr>
      <w:ind w:firstLine="420" w:firstLineChars="200"/>
    </w:pPr>
    <w:rPr>
      <w:rFonts w:ascii="Calibri" w:hAnsi="Calibri" w:cs="Times New Roman"/>
      <w:szCs w:val="24"/>
    </w:rPr>
  </w:style>
  <w:style w:type="character" w:customStyle="1" w:styleId="16">
    <w:name w:val="页眉 字符"/>
    <w:basedOn w:val="11"/>
    <w:link w:val="6"/>
    <w:qFormat/>
    <w:uiPriority w:val="99"/>
    <w:rPr>
      <w:rFonts w:ascii="Times New Roman" w:hAnsi="Times New Roman" w:eastAsia="宋体" w:cs="Calibri"/>
      <w:sz w:val="18"/>
      <w:szCs w:val="18"/>
    </w:rPr>
  </w:style>
  <w:style w:type="character" w:customStyle="1" w:styleId="17">
    <w:name w:val="页脚 字符"/>
    <w:basedOn w:val="11"/>
    <w:link w:val="5"/>
    <w:qFormat/>
    <w:uiPriority w:val="99"/>
    <w:rPr>
      <w:rFonts w:ascii="Times New Roman" w:hAnsi="Times New Roman" w:eastAsia="宋体" w:cs="Calibri"/>
      <w:sz w:val="18"/>
      <w:szCs w:val="18"/>
    </w:rPr>
  </w:style>
  <w:style w:type="paragraph" w:styleId="18">
    <w:name w:val="List Paragraph"/>
    <w:basedOn w:val="1"/>
    <w:qFormat/>
    <w:uiPriority w:val="34"/>
    <w:pPr>
      <w:ind w:firstLine="420" w:firstLineChars="200"/>
    </w:pPr>
  </w:style>
  <w:style w:type="character" w:customStyle="1" w:styleId="19">
    <w:name w:val="HTML 预设格式 字符"/>
    <w:basedOn w:val="11"/>
    <w:link w:val="7"/>
    <w:qFormat/>
    <w:uiPriority w:val="99"/>
    <w:rPr>
      <w:rFonts w:ascii="宋体" w:hAnsi="宋体" w:cs="宋体"/>
      <w:sz w:val="24"/>
      <w:szCs w:val="24"/>
    </w:rPr>
  </w:style>
  <w:style w:type="character" w:customStyle="1" w:styleId="20">
    <w:name w:val="未处理的提及1"/>
    <w:basedOn w:val="11"/>
    <w:semiHidden/>
    <w:unhideWhenUsed/>
    <w:qFormat/>
    <w:uiPriority w:val="99"/>
    <w:rPr>
      <w:color w:val="605E5C"/>
      <w:shd w:val="clear" w:color="auto" w:fill="E1DFDD"/>
    </w:rPr>
  </w:style>
  <w:style w:type="character" w:customStyle="1" w:styleId="21">
    <w:name w:val="批注框文本 字符"/>
    <w:basedOn w:val="11"/>
    <w:link w:val="4"/>
    <w:semiHidden/>
    <w:qFormat/>
    <w:uiPriority w:val="99"/>
    <w:rPr>
      <w:rFonts w:ascii="宋体" w:cs="Calibri"/>
      <w:kern w:val="2"/>
      <w:sz w:val="18"/>
      <w:szCs w:val="18"/>
    </w:rPr>
  </w:style>
  <w:style w:type="paragraph" w:customStyle="1" w:styleId="22">
    <w:name w:val="修订1"/>
    <w:hidden/>
    <w:semiHidden/>
    <w:qFormat/>
    <w:uiPriority w:val="99"/>
    <w:rPr>
      <w:rFonts w:ascii="Times New Roman" w:hAnsi="Times New Roman" w:eastAsia="宋体" w:cs="Calibri"/>
      <w:kern w:val="2"/>
      <w:sz w:val="21"/>
      <w:szCs w:val="21"/>
      <w:lang w:val="en-US" w:eastAsia="zh-CN" w:bidi="ar-SA"/>
    </w:rPr>
  </w:style>
  <w:style w:type="paragraph" w:customStyle="1" w:styleId="23">
    <w:name w:val="Revision"/>
    <w:hidden/>
    <w:semiHidden/>
    <w:qFormat/>
    <w:uiPriority w:val="99"/>
    <w:rPr>
      <w:rFonts w:ascii="Times New Roman" w:hAnsi="Times New Roman"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3550</Words>
  <Characters>4114</Characters>
  <Lines>31</Lines>
  <Paragraphs>8</Paragraphs>
  <TotalTime>16</TotalTime>
  <ScaleCrop>false</ScaleCrop>
  <LinksUpToDate>false</LinksUpToDate>
  <CharactersWithSpaces>4281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2022-09-14T03:06:00Z</dcterms:created>
  <dc:creator>Microsoft Office User</dc:creator>
  <cp:lastModifiedBy>computer</cp:lastModifiedBy>
  <cp:lastPrinted>2022-10-13T00:54:00Z</cp:lastPrinted>
  <dcterms:modified xsi:type="dcterms:W3CDTF">2022-10-18T07:27:34Z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3F848C0BA5B34837B59A6C1485F00EA6</vt:lpwstr>
  </property>
</Properties>
</file>