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napToGrid w:val="0"/>
        <w:spacing w:line="360" w:lineRule="auto"/>
        <w:jc w:val="center"/>
        <w:rPr>
          <w:rFonts w:ascii="黑体" w:hAnsi="黑体" w:eastAsia="华文中宋"/>
          <w:b/>
          <w:spacing w:val="170"/>
          <w:w w:val="80"/>
          <w:sz w:val="40"/>
          <w:szCs w:val="32"/>
        </w:rPr>
      </w:pPr>
      <w:r>
        <w:rPr>
          <w:rStyle w:val="10"/>
          <w:rFonts w:hint="eastAsia" w:ascii="黑体" w:hAnsi="黑体" w:eastAsia="华文中宋" w:cs="Times New Roman"/>
          <w:b/>
          <w:bCs/>
          <w:color w:val="FF0000"/>
          <w:spacing w:val="-17"/>
          <w:w w:val="80"/>
          <w:sz w:val="72"/>
          <w:szCs w:val="52"/>
        </w:rPr>
        <w:t>浙江省高等教育学会教材建设分会</w:t>
      </w:r>
    </w:p>
    <w:p>
      <w:pPr>
        <w:spacing w:line="600" w:lineRule="exact"/>
        <w:jc w:val="center"/>
        <w:rPr>
          <w:rFonts w:hint="eastAsia" w:ascii="方正小标宋_GBK" w:hAnsi="方正小标宋_GBK" w:eastAsia="方正小标宋_GBK" w:cs="方正小标宋_GBK"/>
          <w:b w:val="0"/>
          <w:bCs/>
          <w:sz w:val="44"/>
          <w:szCs w:val="32"/>
        </w:rPr>
      </w:pPr>
      <w:r>
        <w:rPr>
          <w:rFonts w:hint="eastAsia" w:ascii="方正小标宋_GBK" w:hAnsi="方正小标宋_GBK" w:eastAsia="方正小标宋_GBK" w:cs="方正小标宋_GBK"/>
          <w:b w:val="0"/>
          <w:bCs/>
          <w:sz w:val="44"/>
          <w:szCs w:val="32"/>
        </w:rPr>
        <w:t>关于开展浙江省普通本科高校“十四五”</w:t>
      </w:r>
    </w:p>
    <w:p>
      <w:pPr>
        <w:spacing w:line="600" w:lineRule="exact"/>
        <w:jc w:val="center"/>
        <w:rPr>
          <w:rFonts w:hint="eastAsia" w:ascii="方正小标宋_GBK" w:hAnsi="方正小标宋_GBK" w:eastAsia="方正小标宋_GBK" w:cs="方正小标宋_GBK"/>
          <w:b w:val="0"/>
          <w:bCs/>
          <w:sz w:val="44"/>
          <w:szCs w:val="32"/>
        </w:rPr>
      </w:pPr>
      <w:r>
        <w:rPr>
          <w:rFonts w:hint="eastAsia" w:ascii="方正小标宋_GBK" w:hAnsi="方正小标宋_GBK" w:eastAsia="方正小标宋_GBK" w:cs="方正小标宋_GBK"/>
          <w:b w:val="0"/>
          <w:bCs/>
          <w:sz w:val="44"/>
          <w:szCs w:val="32"/>
          <w:highlight w:val="none"/>
        </w:rPr>
        <w:t>第二批</w:t>
      </w:r>
      <w:r>
        <w:rPr>
          <w:rFonts w:hint="eastAsia" w:ascii="方正小标宋_GBK" w:hAnsi="方正小标宋_GBK" w:eastAsia="方正小标宋_GBK" w:cs="方正小标宋_GBK"/>
          <w:b w:val="0"/>
          <w:bCs/>
          <w:sz w:val="44"/>
          <w:szCs w:val="32"/>
        </w:rPr>
        <w:t>新工科、新医科、新农科、新文科</w:t>
      </w:r>
    </w:p>
    <w:p>
      <w:pPr>
        <w:spacing w:line="600" w:lineRule="exact"/>
        <w:jc w:val="center"/>
        <w:rPr>
          <w:rFonts w:hint="eastAsia" w:ascii="方正小标宋_GBK" w:hAnsi="方正小标宋_GBK" w:eastAsia="方正小标宋_GBK" w:cs="方正小标宋_GBK"/>
          <w:b/>
          <w:bCs w:val="0"/>
          <w:sz w:val="44"/>
          <w:szCs w:val="32"/>
        </w:rPr>
      </w:pPr>
      <w:r>
        <w:rPr>
          <w:rFonts w:hint="eastAsia" w:ascii="方正小标宋_GBK" w:hAnsi="方正小标宋_GBK" w:eastAsia="方正小标宋_GBK" w:cs="方正小标宋_GBK"/>
          <w:b w:val="0"/>
          <w:bCs/>
          <w:sz w:val="44"/>
          <w:szCs w:val="32"/>
        </w:rPr>
        <w:t>重点教材建设项目申报工作的通知</w:t>
      </w:r>
    </w:p>
    <w:p>
      <w:pPr>
        <w:spacing w:line="329" w:lineRule="auto"/>
        <w:jc w:val="left"/>
        <w:rPr>
          <w:rFonts w:ascii="宋体" w:hAnsi="宋体" w:eastAsia="宋体"/>
          <w:sz w:val="32"/>
          <w:szCs w:val="32"/>
        </w:rPr>
      </w:pPr>
    </w:p>
    <w:p>
      <w:pPr>
        <w:spacing w:line="560" w:lineRule="exact"/>
        <w:rPr>
          <w:rFonts w:ascii="仿宋" w:hAnsi="仿宋" w:eastAsia="仿宋" w:cs="仿宋_GB2312"/>
          <w:sz w:val="32"/>
          <w:szCs w:val="32"/>
        </w:rPr>
      </w:pPr>
      <w:r>
        <w:rPr>
          <w:rFonts w:hint="eastAsia" w:ascii="仿宋" w:hAnsi="仿宋" w:eastAsia="仿宋" w:cs="仿宋_GB2312"/>
          <w:sz w:val="32"/>
          <w:szCs w:val="32"/>
        </w:rPr>
        <w:t>各普通本科高校、各本科教学指导委员会：</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为深入贯彻习近平总书记关于教育的重要论述和全国、省教育大会精神，全面落</w:t>
      </w:r>
      <w:r>
        <w:rPr>
          <w:rFonts w:hint="eastAsia" w:ascii="仿宋" w:hAnsi="仿宋" w:eastAsia="仿宋" w:cs="仿宋_GB2312"/>
          <w:spacing w:val="-2"/>
          <w:sz w:val="32"/>
          <w:szCs w:val="32"/>
        </w:rPr>
        <w:t>实教育部“四新”（</w:t>
      </w:r>
      <w:r>
        <w:rPr>
          <w:rFonts w:hint="eastAsia" w:ascii="仿宋" w:hAnsi="仿宋" w:eastAsia="仿宋" w:cs="仿宋_GB2312"/>
          <w:sz w:val="32"/>
          <w:szCs w:val="32"/>
        </w:rPr>
        <w:t>新工科、新医科、新农科、新文科</w:t>
      </w:r>
      <w:r>
        <w:rPr>
          <w:rFonts w:hint="eastAsia" w:ascii="仿宋" w:hAnsi="仿宋" w:eastAsia="仿宋" w:cs="仿宋_GB2312"/>
          <w:spacing w:val="-2"/>
          <w:sz w:val="32"/>
          <w:szCs w:val="32"/>
        </w:rPr>
        <w:t>）建设及《浙江省高等教育“十四五”发展规划》有关要求，推动新时代高等教育创新发展，提高新时代高等教育人才培养质量，受浙江省教育厅委托，</w:t>
      </w:r>
      <w:r>
        <w:rPr>
          <w:rFonts w:hint="eastAsia" w:ascii="仿宋" w:hAnsi="仿宋" w:eastAsia="仿宋" w:cs="仿宋_GB2312"/>
          <w:spacing w:val="-2"/>
          <w:sz w:val="32"/>
          <w:szCs w:val="32"/>
          <w:lang w:val="en-US" w:eastAsia="zh-CN"/>
        </w:rPr>
        <w:t>由</w:t>
      </w:r>
      <w:r>
        <w:rPr>
          <w:rFonts w:hint="eastAsia" w:ascii="仿宋" w:hAnsi="仿宋" w:eastAsia="仿宋" w:cs="仿宋_GB2312"/>
          <w:spacing w:val="-2"/>
          <w:sz w:val="32"/>
          <w:szCs w:val="32"/>
        </w:rPr>
        <w:t>浙江省高等教育学会教材建设分会组织开展浙江省普通本科高校“十四五</w:t>
      </w:r>
      <w:r>
        <w:rPr>
          <w:rFonts w:hint="eastAsia" w:ascii="仿宋" w:hAnsi="仿宋" w:eastAsia="仿宋" w:cs="仿宋_GB2312"/>
          <w:sz w:val="32"/>
          <w:szCs w:val="32"/>
        </w:rPr>
        <w:t>”第二批新工科、新医科、新农科、新文科</w:t>
      </w:r>
      <w:r>
        <w:rPr>
          <w:rFonts w:hint="eastAsia" w:ascii="仿宋" w:hAnsi="仿宋" w:eastAsia="仿宋" w:cs="仿宋_GB2312"/>
          <w:spacing w:val="-2"/>
          <w:sz w:val="32"/>
          <w:szCs w:val="32"/>
        </w:rPr>
        <w:t>重点教材建设项目申报遴选工作。现将有关事项通知如下：</w:t>
      </w:r>
    </w:p>
    <w:p>
      <w:pPr>
        <w:pStyle w:val="14"/>
        <w:numPr>
          <w:ilvl w:val="0"/>
          <w:numId w:val="1"/>
        </w:numPr>
        <w:spacing w:before="156" w:beforeLines="50" w:after="156" w:afterLines="50" w:line="560" w:lineRule="exact"/>
        <w:ind w:firstLineChars="0"/>
        <w:outlineLvl w:val="1"/>
        <w:rPr>
          <w:rFonts w:ascii="黑体" w:hAnsi="黑体" w:eastAsia="黑体" w:cs="黑体"/>
          <w:b/>
          <w:spacing w:val="-2"/>
          <w:sz w:val="32"/>
          <w:szCs w:val="32"/>
        </w:rPr>
      </w:pPr>
      <w:r>
        <w:rPr>
          <w:rFonts w:hint="eastAsia" w:ascii="黑体" w:hAnsi="黑体" w:eastAsia="黑体" w:cs="黑体"/>
          <w:b/>
          <w:spacing w:val="-2"/>
          <w:sz w:val="32"/>
          <w:szCs w:val="32"/>
        </w:rPr>
        <w:t>总体目标</w:t>
      </w:r>
    </w:p>
    <w:p>
      <w:pPr>
        <w:keepNext w:val="0"/>
        <w:keepLines w:val="0"/>
        <w:pageBreakBefore w:val="0"/>
        <w:widowControl/>
        <w:kinsoku/>
        <w:wordWrap/>
        <w:overflowPunct/>
        <w:topLinePunct w:val="0"/>
        <w:autoSpaceDE/>
        <w:autoSpaceDN/>
        <w:bidi w:val="0"/>
        <w:adjustRightInd/>
        <w:snapToGrid/>
        <w:ind w:firstLine="632" w:firstLineChars="200"/>
        <w:jc w:val="left"/>
        <w:textAlignment w:val="auto"/>
        <w:rPr>
          <w:rFonts w:hint="eastAsia" w:ascii="仿宋" w:hAnsi="仿宋" w:eastAsia="仿宋" w:cs="仿宋_GB2312"/>
          <w:spacing w:val="-2"/>
          <w:sz w:val="32"/>
          <w:szCs w:val="32"/>
        </w:rPr>
      </w:pPr>
      <w:r>
        <w:rPr>
          <w:rFonts w:hint="eastAsia" w:ascii="仿宋" w:hAnsi="仿宋" w:eastAsia="仿宋" w:cs="仿宋_GB2312"/>
          <w:spacing w:val="-2"/>
          <w:sz w:val="32"/>
          <w:szCs w:val="32"/>
        </w:rPr>
        <w:t>以习近平新时代中国特色社会主义思想为指导，紧紧围绕立德树人根本任务，统筹考虑“四新”建设和新时代科技、医药、农业、文化创新高地建设，探索学科研究和课程教学新范式，推动人工智能、大数据等新一代信息技术与各学科专业深度融合，创新多学科交叉的人才培养，构建更中国、更现代、更创新、更融合、更开放的具有浙江特色的人才培养体系，实现浙江省高等教育高质量高水平发展。本批次拟立项出版</w:t>
      </w:r>
      <w:r>
        <w:rPr>
          <w:rFonts w:hint="eastAsia" w:ascii="仿宋" w:hAnsi="仿宋" w:eastAsia="仿宋" w:cs="仿宋_GB2312"/>
          <w:spacing w:val="-2"/>
          <w:sz w:val="32"/>
          <w:szCs w:val="32"/>
          <w:lang w:val="en-US" w:eastAsia="zh-CN"/>
        </w:rPr>
        <w:t>5</w:t>
      </w:r>
      <w:r>
        <w:rPr>
          <w:rFonts w:hint="eastAsia" w:ascii="仿宋" w:hAnsi="仿宋" w:eastAsia="仿宋" w:cs="仿宋_GB2312"/>
          <w:spacing w:val="-2"/>
          <w:sz w:val="32"/>
          <w:szCs w:val="32"/>
        </w:rPr>
        <w:t>00</w:t>
      </w:r>
      <w:r>
        <w:rPr>
          <w:rFonts w:hint="eastAsia" w:ascii="仿宋" w:hAnsi="仿宋" w:eastAsia="仿宋" w:cs="仿宋_GB2312"/>
          <w:spacing w:val="-2"/>
          <w:sz w:val="32"/>
          <w:szCs w:val="32"/>
          <w:lang w:val="en-US" w:eastAsia="zh-CN"/>
        </w:rPr>
        <w:t>种</w:t>
      </w:r>
      <w:r>
        <w:rPr>
          <w:rFonts w:hint="eastAsia" w:ascii="仿宋" w:hAnsi="仿宋" w:eastAsia="仿宋" w:cs="仿宋_GB2312"/>
          <w:spacing w:val="-2"/>
          <w:sz w:val="32"/>
          <w:szCs w:val="32"/>
        </w:rPr>
        <w:t>（套）省级“四新”建设重点教材，其中包括</w:t>
      </w:r>
      <w:r>
        <w:rPr>
          <w:rFonts w:hint="eastAsia" w:ascii="仿宋" w:hAnsi="仿宋" w:eastAsia="仿宋" w:cs="仿宋_GB2312"/>
          <w:spacing w:val="-2"/>
          <w:sz w:val="32"/>
          <w:szCs w:val="32"/>
          <w:lang w:val="en-US" w:eastAsia="zh-CN"/>
        </w:rPr>
        <w:t>4</w:t>
      </w:r>
      <w:r>
        <w:rPr>
          <w:rFonts w:hint="eastAsia" w:ascii="仿宋" w:hAnsi="仿宋" w:eastAsia="仿宋" w:cs="仿宋_GB2312"/>
          <w:spacing w:val="-2"/>
          <w:sz w:val="32"/>
          <w:szCs w:val="32"/>
        </w:rPr>
        <w:t>00</w:t>
      </w:r>
      <w:r>
        <w:rPr>
          <w:rFonts w:hint="eastAsia" w:ascii="仿宋" w:hAnsi="仿宋" w:eastAsia="仿宋" w:cs="仿宋_GB2312"/>
          <w:spacing w:val="-2"/>
          <w:sz w:val="32"/>
          <w:szCs w:val="32"/>
          <w:lang w:val="en-US" w:eastAsia="zh-CN"/>
        </w:rPr>
        <w:t>种</w:t>
      </w:r>
      <w:r>
        <w:rPr>
          <w:rFonts w:hint="eastAsia" w:ascii="仿宋" w:hAnsi="仿宋" w:eastAsia="仿宋" w:cs="仿宋_GB2312"/>
          <w:spacing w:val="-2"/>
          <w:sz w:val="32"/>
          <w:szCs w:val="32"/>
        </w:rPr>
        <w:t>（套）纸质教材和100</w:t>
      </w:r>
      <w:r>
        <w:rPr>
          <w:rFonts w:hint="eastAsia" w:ascii="仿宋" w:hAnsi="仿宋" w:eastAsia="仿宋" w:cs="仿宋_GB2312"/>
          <w:spacing w:val="-2"/>
          <w:sz w:val="32"/>
          <w:szCs w:val="32"/>
          <w:lang w:val="en-US" w:eastAsia="zh-CN"/>
        </w:rPr>
        <w:t>种</w:t>
      </w:r>
      <w:r>
        <w:rPr>
          <w:rFonts w:hint="eastAsia" w:ascii="仿宋" w:hAnsi="仿宋" w:eastAsia="仿宋" w:cs="仿宋_GB2312"/>
          <w:spacing w:val="-2"/>
          <w:sz w:val="32"/>
          <w:szCs w:val="32"/>
        </w:rPr>
        <w:t>（套）数字教材。</w:t>
      </w:r>
    </w:p>
    <w:p>
      <w:pPr>
        <w:pStyle w:val="14"/>
        <w:numPr>
          <w:ilvl w:val="0"/>
          <w:numId w:val="2"/>
        </w:numPr>
        <w:spacing w:before="156" w:beforeLines="50" w:after="156" w:afterLines="50" w:line="560" w:lineRule="exact"/>
        <w:ind w:firstLineChars="0"/>
        <w:outlineLvl w:val="1"/>
        <w:rPr>
          <w:rFonts w:ascii="黑体" w:hAnsi="黑体" w:eastAsia="黑体" w:cs="黑体"/>
          <w:b/>
          <w:spacing w:val="-2"/>
          <w:sz w:val="32"/>
          <w:szCs w:val="32"/>
        </w:rPr>
      </w:pPr>
      <w:r>
        <w:rPr>
          <w:rFonts w:hint="eastAsia" w:ascii="黑体" w:hAnsi="黑体" w:eastAsia="黑体" w:cs="黑体"/>
          <w:b/>
          <w:spacing w:val="-2"/>
          <w:sz w:val="32"/>
          <w:szCs w:val="32"/>
        </w:rPr>
        <w:t>立项范围</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本次立项以名师大家打造浙派精品教材为宗旨，须满足下列条件之一方可推荐申报：</w:t>
      </w:r>
    </w:p>
    <w:p>
      <w:pPr>
        <w:numPr>
          <w:ilvl w:val="255"/>
          <w:numId w:val="0"/>
        </w:num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1.国家级一流专业配套教材；</w:t>
      </w:r>
    </w:p>
    <w:p>
      <w:pPr>
        <w:numPr>
          <w:ilvl w:val="255"/>
          <w:numId w:val="0"/>
        </w:num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2.国家级一流课程配套教材；</w:t>
      </w:r>
    </w:p>
    <w:p>
      <w:pPr>
        <w:numPr>
          <w:ilvl w:val="255"/>
          <w:numId w:val="0"/>
        </w:num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3.名师（省级以上教学名师）、大家（包括院士、文科资深教授、浙江省特级专家、教育部长江计划特聘教授或相当层次的高水平人才）编写的教材。</w:t>
      </w:r>
    </w:p>
    <w:p>
      <w:pPr>
        <w:numPr>
          <w:ilvl w:val="255"/>
          <w:numId w:val="0"/>
        </w:num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个别高校如果确无满足上述条件的教材项目，可按照附表中分配的名额推荐申报相关高水平的教材。</w:t>
      </w:r>
    </w:p>
    <w:p>
      <w:pPr>
        <w:numPr>
          <w:ilvl w:val="255"/>
          <w:numId w:val="0"/>
        </w:num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本次立项主要在新工科、新医科、新农科、新文科领域开展，结合“四新”建设的内涵与要求，确定选题范围如下：</w:t>
      </w:r>
    </w:p>
    <w:p>
      <w:pPr>
        <w:numPr>
          <w:ilvl w:val="0"/>
          <w:numId w:val="3"/>
        </w:numPr>
        <w:spacing w:before="156" w:beforeLines="50" w:after="156" w:afterLines="50" w:line="560" w:lineRule="exact"/>
        <w:outlineLvl w:val="1"/>
        <w:rPr>
          <w:rFonts w:ascii="楷体" w:hAnsi="楷体" w:eastAsia="楷体" w:cs="楷体_GB2312"/>
          <w:b/>
          <w:bCs/>
          <w:spacing w:val="-2"/>
          <w:sz w:val="32"/>
          <w:szCs w:val="32"/>
        </w:rPr>
      </w:pPr>
      <w:r>
        <w:rPr>
          <w:rFonts w:hint="eastAsia" w:ascii="楷体" w:hAnsi="楷体" w:eastAsia="楷体" w:cs="楷体_GB2312"/>
          <w:b/>
          <w:bCs/>
          <w:spacing w:val="-2"/>
          <w:sz w:val="32"/>
          <w:szCs w:val="32"/>
        </w:rPr>
        <w:t>新工科</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1.支持编写适应新一轮科技革命和产业变革新趋势，满足国家战略和区域发展需要，体现</w:t>
      </w:r>
      <w:r>
        <w:rPr>
          <w:rFonts w:hint="eastAsia" w:ascii="仿宋" w:hAnsi="仿宋" w:eastAsia="仿宋" w:cs="仿宋_GB2312"/>
          <w:sz w:val="32"/>
          <w:szCs w:val="32"/>
        </w:rPr>
        <w:t>新工科建设成果的</w:t>
      </w:r>
      <w:r>
        <w:rPr>
          <w:rFonts w:hint="eastAsia" w:ascii="仿宋" w:hAnsi="仿宋" w:eastAsia="仿宋" w:cs="仿宋_GB2312"/>
          <w:spacing w:val="-2"/>
          <w:sz w:val="32"/>
          <w:szCs w:val="32"/>
        </w:rPr>
        <w:t>新教材。</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2.支持编写培根铸魂的新工科公共基础课程和通识课程教材。打造一批适应新时代人才培养特点和专业能力素质要求，有机融入课程思政元素，引导学生树立远大理想，激发学生爱国情、强国志、报国行的课程教材。</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3.支持传统工科专业的资深学者专家根据新时代对工科发展的新要求编写新的专业教材，支持优秀教材再编。</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4.支持编写“理工”“工工”结合、“工医”“工农”交叉以及工科与人文社科类交叉融合的专业教材和通识教材。重点打造集成电路、软件工程、机器人工程、人工智能、智能制造、大数据、网络空间安全、生物医学工程等交叉融合专业教材。</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5.支持编写符合工程教育专业认证标准要求，符合卓越工程师教育培养计划2.0要求，体现“学生中心、产出导向、持续改进”教育理念，体现创新创业教育新范式的工科教材。</w:t>
      </w:r>
    </w:p>
    <w:p>
      <w:pPr>
        <w:numPr>
          <w:ilvl w:val="0"/>
          <w:numId w:val="3"/>
        </w:numPr>
        <w:spacing w:before="156" w:beforeLines="50" w:after="156" w:afterLines="50" w:line="560" w:lineRule="exact"/>
        <w:outlineLvl w:val="1"/>
        <w:rPr>
          <w:rFonts w:ascii="楷体" w:hAnsi="楷体" w:eastAsia="楷体" w:cs="楷体_GB2312"/>
          <w:b/>
          <w:bCs/>
          <w:spacing w:val="-2"/>
          <w:sz w:val="32"/>
          <w:szCs w:val="32"/>
        </w:rPr>
      </w:pPr>
      <w:r>
        <w:rPr>
          <w:rFonts w:hint="eastAsia" w:ascii="楷体" w:hAnsi="楷体" w:eastAsia="楷体" w:cs="楷体_GB2312"/>
          <w:b/>
          <w:bCs/>
          <w:spacing w:val="-2"/>
          <w:sz w:val="32"/>
          <w:szCs w:val="32"/>
        </w:rPr>
        <w:t>新医科</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1.支持编写</w:t>
      </w:r>
      <w:bookmarkStart w:id="0" w:name="_Hlk102661030"/>
      <w:r>
        <w:rPr>
          <w:rFonts w:hint="eastAsia" w:ascii="仿宋" w:hAnsi="仿宋" w:eastAsia="仿宋" w:cs="仿宋_GB2312"/>
          <w:spacing w:val="-2"/>
          <w:sz w:val="32"/>
          <w:szCs w:val="32"/>
        </w:rPr>
        <w:t>新医科基础课教材。围绕课程思政、基础知识、研究方法和前沿动态规划医学专业教材，体现医学学科发展前沿，体现医疗卫生事业特别是公共卫生发展最新趋势。</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2.支持编写新医科通识课教材。体现立德树人根本任务，聚焦健康中国、健康浙江战略，服务人类健康等重大需求，体现从治疗为主到兼具预防治疗、康养的生命健康全周期医学新理念。</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3.支持编写体现医学教育发展新趋势、体现医学教育改革新成果、促进“医+X”交叉融合的新医科专业教材，建设完善转化医学、精准医学、整合医学及医学交叉、医工结合等新医科专业方向的教材体系。</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4.</w:t>
      </w:r>
      <w:bookmarkEnd w:id="0"/>
      <w:r>
        <w:rPr>
          <w:rFonts w:hint="eastAsia" w:ascii="仿宋" w:hAnsi="仿宋" w:eastAsia="仿宋" w:cs="仿宋_GB2312"/>
          <w:spacing w:val="-2"/>
          <w:sz w:val="32"/>
          <w:szCs w:val="32"/>
        </w:rPr>
        <w:t>支持编写医学与文史哲、经管法、教育学、艺术学等人文社科类专业交叉融合的教材，如医学人文、神经哲学、脑科学、医疗管理、健康管理、养老护理、中医康复等。</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5.支持传统医科资深学者专家编写专业教材，支持优秀教材再编。</w:t>
      </w:r>
    </w:p>
    <w:p>
      <w:pPr>
        <w:numPr>
          <w:ilvl w:val="0"/>
          <w:numId w:val="3"/>
        </w:numPr>
        <w:spacing w:before="156" w:beforeLines="50" w:after="156" w:afterLines="50" w:line="560" w:lineRule="exact"/>
        <w:outlineLvl w:val="1"/>
        <w:rPr>
          <w:rFonts w:ascii="楷体" w:hAnsi="楷体" w:eastAsia="楷体" w:cs="楷体_GB2312"/>
          <w:b/>
          <w:bCs/>
          <w:spacing w:val="-2"/>
          <w:sz w:val="32"/>
          <w:szCs w:val="32"/>
        </w:rPr>
      </w:pPr>
      <w:r>
        <w:rPr>
          <w:rFonts w:hint="eastAsia" w:ascii="楷体" w:hAnsi="楷体" w:eastAsia="楷体" w:cs="楷体_GB2312"/>
          <w:b/>
          <w:bCs/>
          <w:spacing w:val="-2"/>
          <w:sz w:val="32"/>
          <w:szCs w:val="32"/>
        </w:rPr>
        <w:t>新农科</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1.支持编写新农科通识教育教材，展示浙江建设“美丽乡村”、践行“绿水青山就是金山银山”理念的生动实践，呈现农林学科发展的最新成果。</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2.支持编写面向新农业、新乡村、新农民、新生态，适应新产业、新业态发展需要的新型涉农专业教材，建设完善智慧农业、农业大数据、休闲农业、森林康养、生态修复、生物安全、乡村治理等新兴涉农专业的教材体系。</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3.支持传统农科专业的资深学者专家根据新时代对农科发展的新要求编写新的专业教材，支持优秀教材再编。</w:t>
      </w:r>
    </w:p>
    <w:p>
      <w:pPr>
        <w:spacing w:line="560" w:lineRule="exact"/>
        <w:ind w:firstLine="632" w:firstLineChars="200"/>
        <w:rPr>
          <w:rFonts w:ascii="仿宋" w:hAnsi="仿宋" w:eastAsia="仿宋" w:cs="仿宋_GB2312"/>
          <w:sz w:val="32"/>
          <w:szCs w:val="32"/>
        </w:rPr>
      </w:pPr>
      <w:r>
        <w:rPr>
          <w:rFonts w:hint="eastAsia" w:ascii="仿宋" w:hAnsi="仿宋" w:eastAsia="仿宋" w:cs="仿宋_GB2312"/>
          <w:spacing w:val="-2"/>
          <w:sz w:val="32"/>
          <w:szCs w:val="32"/>
        </w:rPr>
        <w:t>4.支持编写“理+农”“工+农”“经管法+农”等</w:t>
      </w:r>
      <w:r>
        <w:rPr>
          <w:rFonts w:hint="eastAsia" w:ascii="仿宋" w:hAnsi="仿宋" w:eastAsia="仿宋" w:cs="仿宋_GB2312"/>
          <w:sz w:val="32"/>
          <w:szCs w:val="32"/>
        </w:rPr>
        <w:t>学科交叉融合的专业教材，将生物技术、信息技术、智能制造技术、食品工程、商科、海洋科学和农科教育协同融合。</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5.支持编写涉农专业学生耕读教育教材，重点支持中华农耕文明、浙江农耕文明等教材建设，服务有关中华农耕文明、浙江乡土民俗文化、乡村治理等课程教学。</w:t>
      </w:r>
    </w:p>
    <w:p>
      <w:pPr>
        <w:numPr>
          <w:ilvl w:val="0"/>
          <w:numId w:val="3"/>
        </w:numPr>
        <w:spacing w:before="156" w:beforeLines="50" w:after="156" w:afterLines="50" w:line="560" w:lineRule="exact"/>
        <w:outlineLvl w:val="1"/>
        <w:rPr>
          <w:rFonts w:ascii="楷体" w:hAnsi="楷体" w:eastAsia="楷体" w:cs="楷体_GB2312"/>
          <w:b/>
          <w:bCs/>
          <w:spacing w:val="-2"/>
          <w:sz w:val="32"/>
          <w:szCs w:val="32"/>
        </w:rPr>
      </w:pPr>
      <w:r>
        <w:rPr>
          <w:rFonts w:hint="eastAsia" w:ascii="楷体" w:hAnsi="楷体" w:eastAsia="楷体" w:cs="楷体_GB2312"/>
          <w:b/>
          <w:bCs/>
          <w:spacing w:val="-2"/>
          <w:sz w:val="32"/>
          <w:szCs w:val="32"/>
        </w:rPr>
        <w:t>新文科</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1.支持编写反映中国特色社会主义理论与实践新发展、浙江省新时代文化创新高地建设新成果、新文科建设新内容的新教材。立足国情省情，以讲好浙江故事来展示中国风采。</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2.支持编写通识教育与思政教育同向同行的教材。重点支持浙江优秀传统文化、浙江非物质文化遗产、区域特色乡土历史文化教育，以及体育、美育、劳动教育相关教材。</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3.支持文史哲、经管法、教育学、艺术学等传统文科资深学者专家根据新时代对文科发展的新要求编写专业教材，支持优秀教材再编。</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4.支持编写“工+文”“医+文”“农+文”“理+文”“文+文”等交叉融合的专业教材和通识教材。重点支持人工智能、大数据、云计算等现代信息技术与文科类学科专业深度融合的数字经济、数字传媒、数字艺术、健康服务与管理、大数据管理与应用、跨境电商、供应链管理、涉外法律、互联网金融等领域新兴专业教材。</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5.支持编写文科教育与国情社情民情教育相融合的新文科大讲堂系列教材。结合教育部的中国政法实务、中国新闻传播、中国经济、中国艺术“四大讲堂”，推动文科教育与社会实践交流融合，打造浙江特色的新文科大讲堂配套教材。</w:t>
      </w:r>
    </w:p>
    <w:p>
      <w:pPr>
        <w:keepNext w:val="0"/>
        <w:keepLines w:val="0"/>
        <w:pageBreakBefore w:val="0"/>
        <w:widowControl/>
        <w:kinsoku/>
        <w:wordWrap/>
        <w:overflowPunct/>
        <w:topLinePunct w:val="0"/>
        <w:autoSpaceDE/>
        <w:autoSpaceDN/>
        <w:bidi w:val="0"/>
        <w:adjustRightInd/>
        <w:snapToGrid/>
        <w:ind w:firstLine="632" w:firstLineChars="200"/>
        <w:jc w:val="left"/>
        <w:textAlignment w:val="auto"/>
        <w:rPr>
          <w:rFonts w:hint="eastAsia" w:ascii="仿宋" w:hAnsi="仿宋" w:eastAsia="仿宋" w:cs="仿宋_GB2312"/>
          <w:spacing w:val="-2"/>
          <w:sz w:val="32"/>
          <w:szCs w:val="32"/>
        </w:rPr>
      </w:pPr>
      <w:r>
        <w:rPr>
          <w:rFonts w:hint="eastAsia" w:ascii="仿宋" w:hAnsi="仿宋" w:eastAsia="仿宋" w:cs="仿宋_GB2312"/>
          <w:spacing w:val="-2"/>
          <w:sz w:val="32"/>
          <w:szCs w:val="32"/>
        </w:rPr>
        <w:t>除上述“四新”领域，学校具有优势特色的基础类学科和专业且符合申报要求的，也可按需申报。</w:t>
      </w:r>
    </w:p>
    <w:p>
      <w:pPr>
        <w:pStyle w:val="14"/>
        <w:numPr>
          <w:ilvl w:val="0"/>
          <w:numId w:val="4"/>
        </w:numPr>
        <w:spacing w:before="156" w:beforeLines="50" w:after="156" w:afterLines="50" w:line="560" w:lineRule="exact"/>
        <w:ind w:firstLineChars="0"/>
        <w:outlineLvl w:val="1"/>
        <w:rPr>
          <w:rFonts w:ascii="黑体" w:hAnsi="黑体" w:eastAsia="黑体" w:cs="黑体"/>
          <w:b/>
          <w:spacing w:val="-2"/>
          <w:sz w:val="32"/>
          <w:szCs w:val="32"/>
        </w:rPr>
      </w:pPr>
      <w:r>
        <w:rPr>
          <w:rFonts w:hint="eastAsia" w:ascii="黑体" w:hAnsi="黑体" w:eastAsia="黑体" w:cs="黑体"/>
          <w:b/>
          <w:spacing w:val="-2"/>
          <w:sz w:val="32"/>
          <w:szCs w:val="32"/>
        </w:rPr>
        <w:t>教材编写要求</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根据《普通高等学校教材管理办法》和《浙江省普通高等学校教材管理实施细则》相关规定，明确以下要求：</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1.政治导向要求。教材必须融入党的二十大精神，体现党和国家意志，坚持以习近平新时代中国特色社会主义思想为指导，坚持立德树人根本任务，体现中国和中华民族风格，体现党和国家对教育的基本要求，体现国家和民族基本价值观，体现人类文化知识积累和创新成果。</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2.价值导向要求。教材内容要求知识性和价值性相统一，把课程思政融入教材编写中。立足中国国情、体现浙江特色，要出思想理论、树理想信念、涵人文精神、养家国情怀，坚持培根铸魂，培养坚定文化自信、厚植家国情怀、具有国际视野的德智体美劳全面发展的新时代人才。</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3.知识体系要求。教材建设必须遵循高等教育教学规律和人才成长规律，编写应依据教材建设规划以及学科专业或课程教学标准，服务高等教育教学改革和人才培养。教材知识体系必须体现科学性、权威性、前沿性。</w:t>
      </w:r>
    </w:p>
    <w:p>
      <w:pPr>
        <w:spacing w:line="560" w:lineRule="exact"/>
        <w:ind w:firstLine="632" w:firstLineChars="200"/>
        <w:rPr>
          <w:rFonts w:hint="eastAsia" w:ascii="仿宋" w:hAnsi="仿宋" w:eastAsia="仿宋" w:cs="仿宋_GB2312"/>
          <w:spacing w:val="-2"/>
          <w:sz w:val="32"/>
          <w:szCs w:val="32"/>
        </w:rPr>
      </w:pPr>
      <w:r>
        <w:rPr>
          <w:rFonts w:hint="eastAsia" w:ascii="仿宋" w:hAnsi="仿宋" w:eastAsia="仿宋" w:cs="仿宋_GB2312"/>
          <w:spacing w:val="-2"/>
          <w:sz w:val="32"/>
          <w:szCs w:val="32"/>
        </w:rPr>
        <w:t>4.编写人员要求。政治立场坚定，拥护中国共产党的领导，认同中国特色社会主义，坚定“四个自信”，具有正确的世界观、人生观、价值观，坚持正确的国家观、民族观、历史观、文化观、宗教观，没有违背党的理论和路线方针政策的言行。学术功底扎实，学术水平高，学风严谨，一般应具有高级专业技术职务。遵纪守法，有良好的思想品德、社会形象和师德师风。有足够时间和精力从事教材编写修订工作。主编（第一主编）必须承担全书四分之一以上的编写任务，原则上要求长期从事相关课程教学工作，具有教材编写经验。教材主编两年内没有退休、调离申报学校以及出国一年以上等可预见的人事安排。</w:t>
      </w:r>
      <w:r>
        <w:rPr>
          <w:rFonts w:hint="eastAsia" w:ascii="仿宋" w:hAnsi="仿宋" w:eastAsia="仿宋" w:cs="仿宋_GB2312"/>
          <w:spacing w:val="-2"/>
          <w:sz w:val="32"/>
          <w:szCs w:val="32"/>
          <w:lang w:val="en-US" w:eastAsia="zh-CN"/>
        </w:rPr>
        <w:t>为鼓励作者集中精力编写高质量教材，本批次原则上申报人作为第一主编只能申报一本新编类教材（含不同渠道）。</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5.出版形式要求。与现代信息技术融合，将技术变革、教学手段方法创新及时应用到教材编写中，在纸质书中嵌入二维码呈现课件、习题、慕课、微课等数字资源。</w:t>
      </w:r>
      <w:r>
        <w:rPr>
          <w:rFonts w:hint="eastAsia" w:ascii="仿宋" w:hAnsi="仿宋" w:eastAsia="仿宋" w:cs="仿宋_GB2312"/>
          <w:sz w:val="32"/>
          <w:szCs w:val="32"/>
        </w:rPr>
        <w:t>鼓励其他形态的教材创新，探索新的教材运用方式及出版模式。</w:t>
      </w:r>
    </w:p>
    <w:p>
      <w:pPr>
        <w:keepNext w:val="0"/>
        <w:keepLines w:val="0"/>
        <w:pageBreakBefore w:val="0"/>
        <w:widowControl/>
        <w:kinsoku/>
        <w:wordWrap/>
        <w:overflowPunct/>
        <w:topLinePunct w:val="0"/>
        <w:autoSpaceDE/>
        <w:autoSpaceDN/>
        <w:bidi w:val="0"/>
        <w:adjustRightInd/>
        <w:snapToGrid/>
        <w:ind w:firstLine="632" w:firstLineChars="200"/>
        <w:jc w:val="left"/>
        <w:textAlignment w:val="auto"/>
        <w:rPr>
          <w:rFonts w:hint="eastAsia" w:ascii="仿宋" w:hAnsi="仿宋" w:eastAsia="仿宋" w:cs="仿宋_GB2312"/>
          <w:spacing w:val="-2"/>
          <w:sz w:val="32"/>
          <w:szCs w:val="32"/>
        </w:rPr>
      </w:pPr>
      <w:r>
        <w:rPr>
          <w:rFonts w:hint="eastAsia" w:ascii="仿宋" w:hAnsi="仿宋" w:eastAsia="仿宋" w:cs="仿宋_GB2312"/>
          <w:spacing w:val="-2"/>
          <w:sz w:val="32"/>
          <w:szCs w:val="32"/>
        </w:rPr>
        <w:t>6.数字教材建设要求。建设坚持思想性、系统性、科学性、生动性、先进性相统一，应做到结构严谨、逻辑性强、体系完备、资源内容丰富，有效拓展教材功能和表现形态。教材所有数字资源按教材和出版规范编修、审核与管理，须由正规出版单位进行出版，并申领书号。</w:t>
      </w:r>
    </w:p>
    <w:p>
      <w:pPr>
        <w:pStyle w:val="14"/>
        <w:numPr>
          <w:ilvl w:val="0"/>
          <w:numId w:val="5"/>
        </w:numPr>
        <w:spacing w:before="156" w:beforeLines="50" w:after="156" w:afterLines="50" w:line="560" w:lineRule="exact"/>
        <w:ind w:firstLineChars="0"/>
        <w:outlineLvl w:val="1"/>
        <w:rPr>
          <w:rFonts w:ascii="黑体" w:hAnsi="黑体" w:eastAsia="黑体" w:cs="黑体"/>
          <w:b/>
          <w:spacing w:val="-2"/>
          <w:sz w:val="32"/>
          <w:szCs w:val="32"/>
        </w:rPr>
      </w:pPr>
      <w:r>
        <w:rPr>
          <w:rFonts w:hint="eastAsia" w:ascii="黑体" w:hAnsi="黑体" w:eastAsia="黑体" w:cs="黑体"/>
          <w:b/>
          <w:spacing w:val="-2"/>
          <w:sz w:val="32"/>
          <w:szCs w:val="32"/>
        </w:rPr>
        <w:t>推荐申报与评选立项</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1.推荐申报工作以学校为单位统一组织，申报名额主要以各高校拥有的国家级一流专业、国家级一流课程数量为基数，综合考虑其他因素确定，具体分配名额见附件1。</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（1）拥有国家级一流专业、国家级一流课程的高校，其分配名额根据其一流专业和一流课程数量按比例核定。</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（2）没有国家级一流专业、国家级一流课程的高校，分配一定名额作为教材建设项目。</w:t>
      </w:r>
    </w:p>
    <w:p>
      <w:pPr>
        <w:spacing w:line="560" w:lineRule="exact"/>
        <w:ind w:firstLine="632" w:firstLineChars="200"/>
        <w:rPr>
          <w:rFonts w:hint="eastAsia" w:ascii="仿宋" w:hAnsi="仿宋" w:eastAsia="仿宋" w:cs="仿宋_GB2312"/>
          <w:spacing w:val="-2"/>
          <w:sz w:val="32"/>
          <w:szCs w:val="32"/>
        </w:rPr>
      </w:pPr>
      <w:r>
        <w:rPr>
          <w:rFonts w:hint="eastAsia" w:ascii="仿宋" w:hAnsi="仿宋" w:eastAsia="仿宋" w:cs="仿宋_GB2312"/>
          <w:spacing w:val="-2"/>
          <w:sz w:val="32"/>
          <w:szCs w:val="32"/>
        </w:rPr>
        <w:t>（3）名师、大家领衔申报教材建设项目，在上述计划外单列，不占高校分配名额。</w:t>
      </w:r>
    </w:p>
    <w:p>
      <w:pPr>
        <w:spacing w:line="560" w:lineRule="exact"/>
        <w:ind w:firstLine="632" w:firstLineChars="200"/>
        <w:rPr>
          <w:rFonts w:hint="eastAsia" w:ascii="仿宋" w:hAnsi="仿宋" w:eastAsia="仿宋" w:cs="仿宋_GB2312"/>
          <w:spacing w:val="-2"/>
          <w:sz w:val="32"/>
          <w:szCs w:val="32"/>
        </w:rPr>
      </w:pPr>
      <w:r>
        <w:rPr>
          <w:rFonts w:hint="eastAsia" w:ascii="仿宋" w:hAnsi="仿宋" w:eastAsia="仿宋" w:cs="仿宋_GB2312"/>
          <w:spacing w:val="-2"/>
          <w:sz w:val="32"/>
          <w:szCs w:val="32"/>
        </w:rPr>
        <w:t>（</w:t>
      </w:r>
      <w:r>
        <w:rPr>
          <w:rFonts w:hint="eastAsia" w:ascii="仿宋" w:hAnsi="仿宋" w:eastAsia="仿宋" w:cs="仿宋_GB2312"/>
          <w:spacing w:val="-2"/>
          <w:sz w:val="32"/>
          <w:szCs w:val="32"/>
          <w:lang w:val="en-US" w:eastAsia="zh-CN"/>
        </w:rPr>
        <w:t>4</w:t>
      </w:r>
      <w:r>
        <w:rPr>
          <w:rFonts w:hint="eastAsia" w:ascii="仿宋" w:hAnsi="仿宋" w:eastAsia="仿宋" w:cs="仿宋_GB2312"/>
          <w:spacing w:val="-2"/>
          <w:sz w:val="32"/>
          <w:szCs w:val="32"/>
        </w:rPr>
        <w:t>）各高校优势、特色不同，“四新”建设各类别的名额分配不作规定，由各高校根据实际情况统筹把握。</w:t>
      </w:r>
    </w:p>
    <w:p>
      <w:pPr>
        <w:keepNext w:val="0"/>
        <w:keepLines w:val="0"/>
        <w:pageBreakBefore w:val="0"/>
        <w:widowControl/>
        <w:kinsoku/>
        <w:wordWrap/>
        <w:overflowPunct/>
        <w:topLinePunct w:val="0"/>
        <w:autoSpaceDE/>
        <w:autoSpaceDN/>
        <w:bidi w:val="0"/>
        <w:adjustRightInd/>
        <w:snapToGrid/>
        <w:ind w:firstLine="632" w:firstLineChars="200"/>
        <w:jc w:val="left"/>
        <w:textAlignment w:val="auto"/>
        <w:rPr>
          <w:rFonts w:hint="eastAsia" w:ascii="仿宋" w:hAnsi="仿宋" w:eastAsia="仿宋" w:cs="仿宋_GB2312"/>
          <w:spacing w:val="-2"/>
          <w:sz w:val="32"/>
          <w:szCs w:val="32"/>
        </w:rPr>
      </w:pPr>
      <w:r>
        <w:rPr>
          <w:rFonts w:hint="eastAsia" w:ascii="仿宋" w:hAnsi="仿宋" w:eastAsia="仿宋" w:cs="仿宋_GB2312"/>
          <w:spacing w:val="-2"/>
          <w:sz w:val="32"/>
          <w:szCs w:val="32"/>
          <w:lang w:val="en-US" w:eastAsia="zh-CN"/>
        </w:rPr>
        <w:t>2.</w:t>
      </w:r>
      <w:r>
        <w:rPr>
          <w:rFonts w:hint="eastAsia" w:ascii="仿宋" w:hAnsi="仿宋" w:eastAsia="仿宋" w:cs="仿宋_GB2312"/>
          <w:spacing w:val="-2"/>
          <w:sz w:val="32"/>
          <w:szCs w:val="32"/>
        </w:rPr>
        <w:t>与“四新”方向契合的</w:t>
      </w:r>
      <w:r>
        <w:rPr>
          <w:rFonts w:hint="eastAsia" w:ascii="仿宋" w:hAnsi="仿宋" w:eastAsia="仿宋" w:cs="仿宋_GB2312"/>
          <w:spacing w:val="-2"/>
          <w:sz w:val="32"/>
          <w:szCs w:val="32"/>
          <w:lang w:val="en-US" w:eastAsia="zh-CN"/>
        </w:rPr>
        <w:t>省</w:t>
      </w:r>
      <w:r>
        <w:rPr>
          <w:rFonts w:hint="eastAsia" w:ascii="仿宋" w:hAnsi="仿宋" w:eastAsia="仿宋" w:cs="仿宋_GB2312"/>
          <w:spacing w:val="-2"/>
          <w:sz w:val="32"/>
          <w:szCs w:val="32"/>
        </w:rPr>
        <w:t>教指委可推荐申报1项教材（单本或系列均可，系列教材原则上要求5～10</w:t>
      </w:r>
      <w:r>
        <w:rPr>
          <w:rFonts w:hint="eastAsia" w:ascii="仿宋" w:hAnsi="仿宋" w:eastAsia="仿宋" w:cs="仿宋_GB2312"/>
          <w:spacing w:val="-2"/>
          <w:sz w:val="32"/>
          <w:szCs w:val="32"/>
          <w:lang w:val="en-US" w:eastAsia="zh-CN"/>
        </w:rPr>
        <w:t>种</w:t>
      </w:r>
      <w:r>
        <w:rPr>
          <w:rFonts w:hint="eastAsia" w:ascii="仿宋" w:hAnsi="仿宋" w:eastAsia="仿宋" w:cs="仿宋_GB2312"/>
          <w:spacing w:val="-2"/>
          <w:sz w:val="32"/>
          <w:szCs w:val="32"/>
        </w:rPr>
        <w:t>），须跨校组建高水平团队申报，不占各高校分配名额。</w:t>
      </w:r>
    </w:p>
    <w:p>
      <w:pPr>
        <w:keepNext w:val="0"/>
        <w:keepLines w:val="0"/>
        <w:pageBreakBefore w:val="0"/>
        <w:widowControl/>
        <w:kinsoku/>
        <w:wordWrap/>
        <w:overflowPunct/>
        <w:topLinePunct w:val="0"/>
        <w:autoSpaceDE/>
        <w:autoSpaceDN/>
        <w:bidi w:val="0"/>
        <w:adjustRightInd/>
        <w:snapToGrid/>
        <w:ind w:firstLine="632" w:firstLineChars="200"/>
        <w:jc w:val="left"/>
        <w:textAlignment w:val="auto"/>
        <w:rPr>
          <w:rFonts w:hint="eastAsia" w:ascii="仿宋" w:hAnsi="仿宋" w:eastAsia="仿宋" w:cs="仿宋_GB2312"/>
          <w:spacing w:val="-2"/>
          <w:sz w:val="32"/>
          <w:szCs w:val="32"/>
          <w:lang w:eastAsia="zh-CN"/>
        </w:rPr>
      </w:pPr>
      <w:r>
        <w:rPr>
          <w:rFonts w:hint="eastAsia" w:ascii="仿宋" w:hAnsi="仿宋" w:eastAsia="仿宋" w:cs="仿宋_GB2312"/>
          <w:spacing w:val="-2"/>
          <w:sz w:val="32"/>
          <w:szCs w:val="32"/>
          <w:lang w:val="en-US" w:eastAsia="zh-CN"/>
        </w:rPr>
        <w:t>3.</w:t>
      </w:r>
      <w:r>
        <w:rPr>
          <w:rFonts w:hint="eastAsia" w:ascii="仿宋" w:hAnsi="仿宋" w:eastAsia="仿宋" w:cs="仿宋_GB2312"/>
          <w:spacing w:val="-2"/>
          <w:sz w:val="32"/>
          <w:szCs w:val="32"/>
          <w:lang w:eastAsia="zh-CN"/>
        </w:rPr>
        <w:t>浙江省高等教育学会</w:t>
      </w:r>
      <w:r>
        <w:rPr>
          <w:rFonts w:hint="eastAsia" w:ascii="仿宋" w:hAnsi="仿宋" w:eastAsia="仿宋" w:cs="仿宋_GB2312"/>
          <w:spacing w:val="-2"/>
          <w:sz w:val="32"/>
          <w:szCs w:val="32"/>
          <w:lang w:val="en-US" w:eastAsia="zh-CN"/>
        </w:rPr>
        <w:t>高校</w:t>
      </w:r>
      <w:r>
        <w:rPr>
          <w:rFonts w:hint="eastAsia" w:ascii="仿宋" w:hAnsi="仿宋" w:eastAsia="仿宋" w:cs="仿宋_GB2312"/>
          <w:spacing w:val="-2"/>
          <w:sz w:val="32"/>
          <w:szCs w:val="32"/>
          <w:lang w:eastAsia="zh-CN"/>
        </w:rPr>
        <w:t>通识教育分会可推荐申报“四新”通识教育教材80</w:t>
      </w:r>
      <w:r>
        <w:rPr>
          <w:rFonts w:hint="eastAsia" w:ascii="仿宋" w:hAnsi="仿宋" w:eastAsia="仿宋" w:cs="仿宋_GB2312"/>
          <w:spacing w:val="-2"/>
          <w:sz w:val="32"/>
          <w:szCs w:val="32"/>
          <w:lang w:val="en-US" w:eastAsia="zh-CN"/>
        </w:rPr>
        <w:t>种</w:t>
      </w:r>
      <w:r>
        <w:rPr>
          <w:rFonts w:hint="eastAsia" w:ascii="仿宋" w:hAnsi="仿宋" w:eastAsia="仿宋" w:cs="仿宋_GB2312"/>
          <w:spacing w:val="-2"/>
          <w:sz w:val="32"/>
          <w:szCs w:val="32"/>
          <w:lang w:eastAsia="zh-CN"/>
        </w:rPr>
        <w:t>（浙江大学20</w:t>
      </w:r>
      <w:r>
        <w:rPr>
          <w:rFonts w:hint="eastAsia" w:ascii="仿宋" w:hAnsi="仿宋" w:eastAsia="仿宋" w:cs="仿宋_GB2312"/>
          <w:spacing w:val="-2"/>
          <w:sz w:val="32"/>
          <w:szCs w:val="32"/>
          <w:lang w:val="en-US" w:eastAsia="zh-CN"/>
        </w:rPr>
        <w:t>种</w:t>
      </w:r>
      <w:r>
        <w:rPr>
          <w:rFonts w:hint="eastAsia" w:ascii="仿宋" w:hAnsi="仿宋" w:eastAsia="仿宋" w:cs="仿宋_GB2312"/>
          <w:spacing w:val="-2"/>
          <w:sz w:val="32"/>
          <w:szCs w:val="32"/>
          <w:lang w:eastAsia="zh-CN"/>
        </w:rPr>
        <w:t>，其他高校60</w:t>
      </w:r>
      <w:r>
        <w:rPr>
          <w:rFonts w:hint="eastAsia" w:ascii="仿宋" w:hAnsi="仿宋" w:eastAsia="仿宋" w:cs="仿宋_GB2312"/>
          <w:spacing w:val="-2"/>
          <w:sz w:val="32"/>
          <w:szCs w:val="32"/>
          <w:lang w:val="en-US" w:eastAsia="zh-CN"/>
        </w:rPr>
        <w:t>种</w:t>
      </w:r>
      <w:r>
        <w:rPr>
          <w:rFonts w:hint="eastAsia" w:ascii="仿宋" w:hAnsi="仿宋" w:eastAsia="仿宋" w:cs="仿宋_GB2312"/>
          <w:spacing w:val="-2"/>
          <w:sz w:val="32"/>
          <w:szCs w:val="32"/>
          <w:lang w:eastAsia="zh-CN"/>
        </w:rPr>
        <w:t>），</w:t>
      </w:r>
      <w:r>
        <w:rPr>
          <w:rFonts w:hint="eastAsia" w:ascii="仿宋" w:hAnsi="仿宋" w:eastAsia="仿宋" w:cs="仿宋_GB2312"/>
          <w:spacing w:val="-2"/>
          <w:sz w:val="32"/>
          <w:szCs w:val="32"/>
          <w:lang w:val="en-US" w:eastAsia="zh-CN"/>
        </w:rPr>
        <w:t>建议</w:t>
      </w:r>
      <w:r>
        <w:rPr>
          <w:rFonts w:hint="eastAsia" w:ascii="仿宋" w:hAnsi="仿宋" w:eastAsia="仿宋" w:cs="仿宋_GB2312"/>
          <w:spacing w:val="-2"/>
          <w:sz w:val="32"/>
          <w:szCs w:val="32"/>
          <w:lang w:eastAsia="zh-CN"/>
        </w:rPr>
        <w:t>归并为4～5个系列，由通识教育分会统筹策划并组织申报和初评，不占各高校分配名额。（</w:t>
      </w:r>
      <w:r>
        <w:rPr>
          <w:rFonts w:hint="eastAsia" w:ascii="仿宋" w:hAnsi="仿宋" w:eastAsia="仿宋" w:cs="仿宋_GB2312"/>
          <w:spacing w:val="-2"/>
          <w:sz w:val="32"/>
          <w:szCs w:val="32"/>
          <w:lang w:val="en-US" w:eastAsia="zh-CN"/>
        </w:rPr>
        <w:t>高校</w:t>
      </w:r>
      <w:r>
        <w:rPr>
          <w:rFonts w:hint="eastAsia" w:ascii="仿宋" w:hAnsi="仿宋" w:eastAsia="仿宋" w:cs="仿宋_GB2312"/>
          <w:spacing w:val="-2"/>
          <w:sz w:val="32"/>
          <w:szCs w:val="32"/>
          <w:lang w:eastAsia="zh-CN"/>
        </w:rPr>
        <w:t>通识教育分会</w:t>
      </w:r>
      <w:r>
        <w:rPr>
          <w:rFonts w:hint="eastAsia" w:ascii="仿宋" w:hAnsi="仿宋" w:eastAsia="仿宋" w:cs="仿宋_GB2312"/>
          <w:spacing w:val="-2"/>
          <w:sz w:val="32"/>
          <w:szCs w:val="32"/>
          <w:lang w:val="en-US" w:eastAsia="zh-CN"/>
        </w:rPr>
        <w:t>另行发文</w:t>
      </w:r>
      <w:r>
        <w:rPr>
          <w:rFonts w:hint="eastAsia" w:ascii="仿宋" w:hAnsi="仿宋" w:eastAsia="仿宋" w:cs="仿宋_GB2312"/>
          <w:spacing w:val="-2"/>
          <w:sz w:val="32"/>
          <w:szCs w:val="32"/>
          <w:lang w:eastAsia="zh-CN"/>
        </w:rPr>
        <w:t>）</w:t>
      </w:r>
    </w:p>
    <w:p>
      <w:pPr>
        <w:keepNext w:val="0"/>
        <w:keepLines w:val="0"/>
        <w:pageBreakBefore w:val="0"/>
        <w:widowControl/>
        <w:kinsoku/>
        <w:wordWrap/>
        <w:overflowPunct/>
        <w:topLinePunct w:val="0"/>
        <w:autoSpaceDE/>
        <w:autoSpaceDN/>
        <w:bidi w:val="0"/>
        <w:adjustRightInd/>
        <w:snapToGrid/>
        <w:ind w:firstLine="632" w:firstLineChars="200"/>
        <w:jc w:val="left"/>
        <w:textAlignment w:val="auto"/>
        <w:rPr>
          <w:rFonts w:hint="eastAsia" w:ascii="仿宋" w:hAnsi="仿宋" w:eastAsia="仿宋" w:cs="仿宋_GB2312"/>
          <w:spacing w:val="-2"/>
          <w:sz w:val="32"/>
          <w:szCs w:val="32"/>
        </w:rPr>
      </w:pPr>
      <w:r>
        <w:rPr>
          <w:rFonts w:hint="eastAsia" w:ascii="仿宋" w:hAnsi="仿宋" w:eastAsia="仿宋" w:cs="仿宋_GB2312"/>
          <w:spacing w:val="-2"/>
          <w:sz w:val="32"/>
          <w:szCs w:val="32"/>
          <w:lang w:val="en-US" w:eastAsia="zh-CN"/>
        </w:rPr>
        <w:t>4.</w:t>
      </w:r>
      <w:r>
        <w:rPr>
          <w:rFonts w:hint="eastAsia" w:ascii="仿宋" w:hAnsi="仿宋" w:eastAsia="仿宋" w:cs="仿宋_GB2312"/>
          <w:spacing w:val="-2"/>
          <w:sz w:val="32"/>
          <w:szCs w:val="32"/>
        </w:rPr>
        <w:t>数字教材各高校推荐名额不超过3</w:t>
      </w:r>
      <w:r>
        <w:rPr>
          <w:rFonts w:hint="eastAsia" w:ascii="仿宋" w:hAnsi="仿宋" w:eastAsia="仿宋" w:cs="仿宋_GB2312"/>
          <w:spacing w:val="-2"/>
          <w:sz w:val="32"/>
          <w:szCs w:val="32"/>
          <w:lang w:val="en-US" w:eastAsia="zh-CN"/>
        </w:rPr>
        <w:t>种</w:t>
      </w:r>
      <w:r>
        <w:rPr>
          <w:rFonts w:hint="eastAsia" w:ascii="仿宋" w:hAnsi="仿宋" w:eastAsia="仿宋" w:cs="仿宋_GB2312"/>
          <w:spacing w:val="-2"/>
          <w:sz w:val="32"/>
          <w:szCs w:val="32"/>
        </w:rPr>
        <w:t>，浙江大学单列。</w:t>
      </w:r>
    </w:p>
    <w:p>
      <w:pPr>
        <w:keepNext w:val="0"/>
        <w:keepLines w:val="0"/>
        <w:pageBreakBefore w:val="0"/>
        <w:widowControl/>
        <w:kinsoku/>
        <w:wordWrap/>
        <w:overflowPunct/>
        <w:topLinePunct w:val="0"/>
        <w:autoSpaceDE/>
        <w:autoSpaceDN/>
        <w:bidi w:val="0"/>
        <w:adjustRightInd/>
        <w:snapToGrid/>
        <w:ind w:firstLine="632" w:firstLineChars="200"/>
        <w:jc w:val="left"/>
        <w:textAlignment w:val="auto"/>
        <w:rPr>
          <w:rFonts w:hint="eastAsia" w:ascii="仿宋" w:hAnsi="仿宋" w:eastAsia="仿宋" w:cs="仿宋_GB2312"/>
          <w:spacing w:val="-2"/>
          <w:sz w:val="32"/>
          <w:szCs w:val="32"/>
        </w:rPr>
      </w:pPr>
      <w:r>
        <w:rPr>
          <w:rFonts w:hint="eastAsia" w:ascii="仿宋" w:hAnsi="仿宋" w:eastAsia="仿宋" w:cs="仿宋_GB2312"/>
          <w:spacing w:val="-2"/>
          <w:sz w:val="32"/>
          <w:szCs w:val="32"/>
          <w:lang w:val="en-US" w:eastAsia="zh-CN"/>
        </w:rPr>
        <w:t>5.</w:t>
      </w:r>
      <w:r>
        <w:rPr>
          <w:rFonts w:hint="eastAsia" w:ascii="仿宋" w:hAnsi="仿宋" w:eastAsia="仿宋" w:cs="仿宋_GB2312"/>
          <w:spacing w:val="-2"/>
          <w:sz w:val="32"/>
          <w:szCs w:val="32"/>
        </w:rPr>
        <w:t>浙江省教材建设研究中心（基地）在高等教育层次内按照研究方向推荐申报1项教材（单本或系列均可，系列教材原则上要求5～10</w:t>
      </w:r>
      <w:r>
        <w:rPr>
          <w:rFonts w:hint="eastAsia" w:ascii="仿宋" w:hAnsi="仿宋" w:eastAsia="仿宋" w:cs="仿宋_GB2312"/>
          <w:spacing w:val="-2"/>
          <w:sz w:val="32"/>
          <w:szCs w:val="32"/>
          <w:lang w:val="en-US" w:eastAsia="zh-CN"/>
        </w:rPr>
        <w:t>种</w:t>
      </w:r>
      <w:r>
        <w:rPr>
          <w:rFonts w:hint="eastAsia" w:ascii="仿宋" w:hAnsi="仿宋" w:eastAsia="仿宋" w:cs="仿宋_GB2312"/>
          <w:spacing w:val="-2"/>
          <w:sz w:val="32"/>
          <w:szCs w:val="32"/>
        </w:rPr>
        <w:t>），不占主编所在学校名额。</w:t>
      </w:r>
    </w:p>
    <w:p>
      <w:pPr>
        <w:keepNext w:val="0"/>
        <w:keepLines w:val="0"/>
        <w:pageBreakBefore w:val="0"/>
        <w:widowControl/>
        <w:kinsoku/>
        <w:wordWrap/>
        <w:overflowPunct/>
        <w:topLinePunct w:val="0"/>
        <w:autoSpaceDE/>
        <w:autoSpaceDN/>
        <w:bidi w:val="0"/>
        <w:adjustRightInd/>
        <w:snapToGrid/>
        <w:ind w:firstLine="632" w:firstLineChars="200"/>
        <w:jc w:val="left"/>
        <w:textAlignment w:val="auto"/>
        <w:rPr>
          <w:rFonts w:hint="eastAsia" w:ascii="仿宋" w:hAnsi="仿宋" w:eastAsia="仿宋" w:cs="仿宋_GB2312"/>
          <w:spacing w:val="-2"/>
          <w:sz w:val="32"/>
          <w:szCs w:val="32"/>
        </w:rPr>
      </w:pPr>
      <w:r>
        <w:rPr>
          <w:rFonts w:hint="eastAsia" w:ascii="仿宋" w:hAnsi="仿宋" w:eastAsia="仿宋" w:cs="仿宋_GB2312"/>
          <w:spacing w:val="-2"/>
          <w:sz w:val="32"/>
          <w:szCs w:val="32"/>
          <w:lang w:val="en-US" w:eastAsia="zh-CN"/>
        </w:rPr>
        <w:t>6</w:t>
      </w:r>
      <w:r>
        <w:rPr>
          <w:rFonts w:hint="eastAsia" w:ascii="仿宋" w:hAnsi="仿宋" w:eastAsia="仿宋" w:cs="仿宋_GB2312"/>
          <w:spacing w:val="-2"/>
          <w:sz w:val="32"/>
          <w:szCs w:val="32"/>
        </w:rPr>
        <w:t>.本次“四新”重点教材申报项目将由浙江省高等教育学会教材建设分会组织相关专家进行评审，评审结果上报教育厅审核同意后，由浙江省高等教育学会分批次发文公布。</w:t>
      </w:r>
    </w:p>
    <w:p>
      <w:pPr>
        <w:keepNext w:val="0"/>
        <w:keepLines w:val="0"/>
        <w:pageBreakBefore w:val="0"/>
        <w:widowControl/>
        <w:kinsoku/>
        <w:wordWrap/>
        <w:overflowPunct/>
        <w:topLinePunct w:val="0"/>
        <w:autoSpaceDE/>
        <w:autoSpaceDN/>
        <w:bidi w:val="0"/>
        <w:adjustRightInd/>
        <w:snapToGrid/>
        <w:ind w:firstLine="632" w:firstLineChars="200"/>
        <w:jc w:val="left"/>
        <w:textAlignment w:val="auto"/>
        <w:rPr>
          <w:rFonts w:ascii="仿宋" w:hAnsi="仿宋" w:eastAsia="仿宋" w:cs="仿宋_GB2312"/>
          <w:spacing w:val="-2"/>
          <w:sz w:val="32"/>
          <w:szCs w:val="32"/>
        </w:rPr>
      </w:pPr>
      <w:r>
        <w:rPr>
          <w:rFonts w:hint="eastAsia" w:ascii="仿宋" w:hAnsi="仿宋" w:eastAsia="仿宋" w:cs="仿宋_GB2312"/>
          <w:spacing w:val="-2"/>
          <w:sz w:val="32"/>
          <w:szCs w:val="32"/>
          <w:lang w:val="en-US" w:eastAsia="zh-CN"/>
        </w:rPr>
        <w:t>7</w:t>
      </w:r>
      <w:r>
        <w:rPr>
          <w:rFonts w:hint="eastAsia" w:ascii="仿宋" w:hAnsi="仿宋" w:eastAsia="仿宋" w:cs="仿宋_GB2312"/>
          <w:spacing w:val="-2"/>
          <w:sz w:val="32"/>
          <w:szCs w:val="32"/>
        </w:rPr>
        <w:t>.本次立项建设的“四新”教材项目要求在2025年6月30日前出版。立项教材出版时须在教材封面上标注“浙江省普通本科高校‘十四五’重点立项建设教材”字样和徽标。浙江大学出版社设立“浙江省重点教材建设项目基金”，凡立项并在浙江大学出版社出版的教材，将给予3000～5000元的奖励。</w:t>
      </w:r>
    </w:p>
    <w:p>
      <w:pPr>
        <w:spacing w:line="560" w:lineRule="exact"/>
        <w:ind w:firstLine="632" w:firstLineChars="200"/>
        <w:rPr>
          <w:rFonts w:hint="eastAsia" w:ascii="仿宋" w:hAnsi="仿宋" w:eastAsia="仿宋" w:cs="仿宋_GB2312"/>
          <w:spacing w:val="-2"/>
          <w:sz w:val="32"/>
          <w:szCs w:val="32"/>
        </w:rPr>
      </w:pPr>
      <w:r>
        <w:rPr>
          <w:rFonts w:hint="eastAsia" w:ascii="仿宋" w:hAnsi="仿宋" w:eastAsia="仿宋" w:cs="仿宋_GB2312"/>
          <w:spacing w:val="-2"/>
          <w:sz w:val="32"/>
          <w:szCs w:val="32"/>
          <w:lang w:val="en-US" w:eastAsia="zh-CN"/>
        </w:rPr>
        <w:t>8</w:t>
      </w:r>
      <w:r>
        <w:rPr>
          <w:rFonts w:hint="eastAsia" w:ascii="仿宋" w:hAnsi="仿宋" w:eastAsia="仿宋" w:cs="仿宋_GB2312"/>
          <w:spacing w:val="-2"/>
          <w:sz w:val="32"/>
          <w:szCs w:val="32"/>
        </w:rPr>
        <w:t>.分册教材（上、中、下册等）、成套教材（理论教材与配套习题集等配套出版，教师用书与学生用书配套出版等）按整体申报，算一个品种。</w:t>
      </w:r>
    </w:p>
    <w:p>
      <w:pPr>
        <w:rPr>
          <w:rFonts w:hint="eastAsia" w:ascii="仿宋" w:hAnsi="仿宋" w:eastAsia="仿宋" w:cs="仿宋_GB2312"/>
          <w:spacing w:val="-2"/>
          <w:sz w:val="32"/>
          <w:szCs w:val="32"/>
        </w:rPr>
      </w:pPr>
      <w:r>
        <w:rPr>
          <w:rFonts w:hint="eastAsia" w:ascii="仿宋" w:hAnsi="仿宋" w:eastAsia="仿宋" w:cs="仿宋_GB2312"/>
          <w:spacing w:val="-2"/>
          <w:sz w:val="32"/>
          <w:szCs w:val="32"/>
        </w:rPr>
        <w:br w:type="page"/>
      </w:r>
    </w:p>
    <w:p>
      <w:pPr>
        <w:pStyle w:val="14"/>
        <w:numPr>
          <w:ilvl w:val="0"/>
          <w:numId w:val="6"/>
        </w:numPr>
        <w:spacing w:before="156" w:beforeLines="50" w:after="156" w:afterLines="50" w:line="560" w:lineRule="exact"/>
        <w:ind w:firstLineChars="0"/>
        <w:outlineLvl w:val="1"/>
        <w:rPr>
          <w:rFonts w:ascii="黑体" w:hAnsi="黑体" w:eastAsia="黑体" w:cs="黑体"/>
          <w:b/>
          <w:spacing w:val="-2"/>
          <w:sz w:val="32"/>
          <w:szCs w:val="32"/>
        </w:rPr>
      </w:pPr>
      <w:r>
        <w:rPr>
          <w:rFonts w:hint="eastAsia" w:ascii="黑体" w:hAnsi="黑体" w:eastAsia="黑体" w:cs="黑体"/>
          <w:b/>
          <w:spacing w:val="-2"/>
          <w:sz w:val="32"/>
          <w:szCs w:val="32"/>
        </w:rPr>
        <w:t>材料提交</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1.各高校指定一名教材负责人，填写《教材网站学校管理员信息表》（见附件2）并于2024年3月1日前发送至邮箱502547310@qq.com，获取管理员账号和密码，管理学校教材的申报工作。如已开通且无变化的，可以沿用之前账号。</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2.各申报教师在浙江省高校教材网上完成申报表的填写，网站地址为http://118.178.225.61/，具体操作流程参考附件3，申报表文档版样表见附件4。教师确认申报并经学校教材负责人网上审核通过后，该项目申报材料方可提交评审。</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3.新编教材须提供编写大纲及至少一个章节的样章；修订教材须提供已出版的样书、修订说明及大纲。</w:t>
      </w:r>
    </w:p>
    <w:p>
      <w:pPr>
        <w:keepNext w:val="0"/>
        <w:keepLines w:val="0"/>
        <w:pageBreakBefore w:val="0"/>
        <w:widowControl/>
        <w:kinsoku/>
        <w:wordWrap/>
        <w:overflowPunct/>
        <w:topLinePunct w:val="0"/>
        <w:autoSpaceDE/>
        <w:autoSpaceDN/>
        <w:bidi w:val="0"/>
        <w:adjustRightInd/>
        <w:snapToGrid/>
        <w:ind w:firstLine="632" w:firstLineChars="200"/>
        <w:jc w:val="left"/>
        <w:textAlignment w:val="auto"/>
        <w:rPr>
          <w:rFonts w:hint="eastAsia" w:ascii="仿宋" w:hAnsi="仿宋" w:eastAsia="仿宋" w:cs="仿宋_GB2312"/>
          <w:spacing w:val="-2"/>
          <w:sz w:val="32"/>
          <w:szCs w:val="32"/>
        </w:rPr>
      </w:pPr>
      <w:bookmarkStart w:id="1" w:name="_Hlk107414213"/>
      <w:r>
        <w:rPr>
          <w:rFonts w:hint="eastAsia" w:ascii="仿宋" w:hAnsi="仿宋" w:eastAsia="仿宋" w:cs="仿宋_GB2312"/>
          <w:spacing w:val="-2"/>
          <w:sz w:val="32"/>
          <w:szCs w:val="32"/>
        </w:rPr>
        <w:t>4.各高校须对每本申报教材的编写人员进行政治审查，提交《浙江省普通高校“十四五”</w:t>
      </w:r>
      <w:r>
        <w:rPr>
          <w:rFonts w:hint="eastAsia" w:ascii="仿宋" w:hAnsi="仿宋" w:eastAsia="仿宋" w:cs="仿宋_GB2312"/>
          <w:spacing w:val="-2"/>
          <w:sz w:val="32"/>
          <w:szCs w:val="32"/>
          <w:lang w:val="en-US" w:eastAsia="zh-CN"/>
        </w:rPr>
        <w:t>第二批</w:t>
      </w:r>
      <w:r>
        <w:rPr>
          <w:rFonts w:hint="eastAsia" w:ascii="仿宋" w:hAnsi="仿宋" w:eastAsia="仿宋" w:cs="仿宋_GB2312"/>
          <w:spacing w:val="-2"/>
          <w:sz w:val="32"/>
          <w:szCs w:val="32"/>
        </w:rPr>
        <w:t>新工科、新医科、新农科、新文科重点教材建设项目审查意见书》（附件5）。多所高校联合编写的教材，各参编高校《审查意见书》由第一申报学校统一收集</w:t>
      </w:r>
      <w:r>
        <w:rPr>
          <w:rFonts w:hint="eastAsia" w:ascii="仿宋" w:hAnsi="仿宋" w:eastAsia="仿宋" w:cs="仿宋_GB2312"/>
          <w:spacing w:val="-2"/>
          <w:sz w:val="32"/>
          <w:szCs w:val="32"/>
          <w:lang w:val="en-US" w:eastAsia="zh-CN"/>
        </w:rPr>
        <w:t>并保管</w:t>
      </w:r>
      <w:r>
        <w:rPr>
          <w:rFonts w:hint="eastAsia" w:ascii="仿宋" w:hAnsi="仿宋" w:eastAsia="仿宋" w:cs="仿宋_GB2312"/>
          <w:spacing w:val="-2"/>
          <w:sz w:val="32"/>
          <w:szCs w:val="32"/>
        </w:rPr>
        <w:t>。</w:t>
      </w:r>
    </w:p>
    <w:p>
      <w:pPr>
        <w:keepNext w:val="0"/>
        <w:keepLines w:val="0"/>
        <w:pageBreakBefore w:val="0"/>
        <w:widowControl/>
        <w:kinsoku/>
        <w:wordWrap/>
        <w:overflowPunct/>
        <w:topLinePunct w:val="0"/>
        <w:autoSpaceDE/>
        <w:autoSpaceDN/>
        <w:bidi w:val="0"/>
        <w:adjustRightInd/>
        <w:snapToGrid/>
        <w:ind w:firstLine="632" w:firstLineChars="200"/>
        <w:jc w:val="left"/>
        <w:textAlignment w:val="auto"/>
        <w:rPr>
          <w:rFonts w:hint="eastAsia" w:ascii="仿宋" w:hAnsi="仿宋" w:eastAsia="仿宋" w:cs="仿宋_GB2312"/>
          <w:spacing w:val="-2"/>
          <w:sz w:val="32"/>
          <w:szCs w:val="32"/>
        </w:rPr>
      </w:pPr>
      <w:r>
        <w:rPr>
          <w:rFonts w:hint="eastAsia" w:ascii="仿宋" w:hAnsi="仿宋" w:eastAsia="仿宋" w:cs="仿宋_GB2312"/>
          <w:spacing w:val="-2"/>
          <w:sz w:val="32"/>
          <w:szCs w:val="32"/>
        </w:rPr>
        <w:t>5.各高校推荐项目须填写《浙江省普通高校“十四五”</w:t>
      </w:r>
      <w:r>
        <w:rPr>
          <w:rFonts w:hint="eastAsia" w:ascii="仿宋" w:hAnsi="仿宋" w:eastAsia="仿宋" w:cs="仿宋_GB2312"/>
          <w:spacing w:val="-2"/>
          <w:sz w:val="32"/>
          <w:szCs w:val="32"/>
          <w:lang w:val="en-US" w:eastAsia="zh-CN"/>
        </w:rPr>
        <w:t>第二批</w:t>
      </w:r>
      <w:r>
        <w:rPr>
          <w:rFonts w:hint="eastAsia" w:ascii="仿宋" w:hAnsi="仿宋" w:eastAsia="仿宋" w:cs="仿宋_GB2312"/>
          <w:spacing w:val="-2"/>
          <w:sz w:val="32"/>
          <w:szCs w:val="32"/>
        </w:rPr>
        <w:t>新工科、新医科、新农科、新文科重点教材项目推荐申报汇总表》（见附件6），并由学校主管部门盖章。</w:t>
      </w:r>
    </w:p>
    <w:p>
      <w:pPr>
        <w:keepNext w:val="0"/>
        <w:keepLines w:val="0"/>
        <w:pageBreakBefore w:val="0"/>
        <w:widowControl/>
        <w:kinsoku/>
        <w:wordWrap/>
        <w:overflowPunct/>
        <w:topLinePunct w:val="0"/>
        <w:autoSpaceDE/>
        <w:autoSpaceDN/>
        <w:bidi w:val="0"/>
        <w:adjustRightInd/>
        <w:snapToGrid/>
        <w:ind w:firstLine="632" w:firstLineChars="200"/>
        <w:jc w:val="left"/>
        <w:textAlignment w:val="auto"/>
        <w:rPr>
          <w:rFonts w:ascii="仿宋" w:hAnsi="仿宋" w:eastAsia="仿宋" w:cs="仿宋_GB2312"/>
          <w:spacing w:val="-2"/>
          <w:sz w:val="32"/>
          <w:szCs w:val="32"/>
        </w:rPr>
      </w:pPr>
      <w:bookmarkStart w:id="2" w:name="_Hlk107413940"/>
      <w:r>
        <w:rPr>
          <w:rFonts w:hint="eastAsia" w:ascii="仿宋" w:hAnsi="仿宋" w:eastAsia="仿宋" w:cs="仿宋_GB2312"/>
          <w:spacing w:val="-2"/>
          <w:sz w:val="32"/>
          <w:szCs w:val="32"/>
        </w:rPr>
        <w:t>6.</w:t>
      </w:r>
      <w:bookmarkEnd w:id="2"/>
      <w:r>
        <w:rPr>
          <w:rFonts w:hint="eastAsia" w:ascii="仿宋" w:hAnsi="仿宋" w:eastAsia="仿宋" w:cs="仿宋_GB2312"/>
          <w:spacing w:val="-2"/>
          <w:sz w:val="32"/>
          <w:szCs w:val="32"/>
        </w:rPr>
        <w:t>教指委</w:t>
      </w:r>
      <w:r>
        <w:rPr>
          <w:rFonts w:hint="eastAsia" w:ascii="仿宋" w:hAnsi="仿宋" w:eastAsia="仿宋" w:cs="仿宋_GB2312"/>
          <w:spacing w:val="-2"/>
          <w:sz w:val="32"/>
          <w:szCs w:val="32"/>
          <w:lang w:eastAsia="zh-CN"/>
        </w:rPr>
        <w:t>、</w:t>
      </w:r>
      <w:r>
        <w:rPr>
          <w:rFonts w:hint="eastAsia" w:ascii="仿宋" w:hAnsi="仿宋" w:eastAsia="仿宋" w:cs="仿宋_GB2312"/>
          <w:spacing w:val="-2"/>
          <w:sz w:val="32"/>
          <w:szCs w:val="32"/>
          <w:lang w:val="en-US" w:eastAsia="zh-CN"/>
        </w:rPr>
        <w:t>高校</w:t>
      </w:r>
      <w:r>
        <w:rPr>
          <w:rFonts w:hint="eastAsia" w:ascii="仿宋" w:hAnsi="仿宋" w:eastAsia="仿宋" w:cs="仿宋_GB2312"/>
          <w:spacing w:val="-2"/>
          <w:sz w:val="32"/>
          <w:szCs w:val="32"/>
        </w:rPr>
        <w:t>通识教育分会</w:t>
      </w:r>
      <w:r>
        <w:rPr>
          <w:rFonts w:hint="eastAsia" w:ascii="仿宋" w:hAnsi="仿宋" w:eastAsia="仿宋" w:cs="仿宋_GB2312"/>
          <w:spacing w:val="-2"/>
          <w:sz w:val="32"/>
          <w:szCs w:val="32"/>
          <w:lang w:val="en-US" w:eastAsia="zh-CN"/>
        </w:rPr>
        <w:t>和</w:t>
      </w:r>
      <w:r>
        <w:rPr>
          <w:rFonts w:hint="eastAsia" w:ascii="仿宋" w:hAnsi="仿宋" w:eastAsia="仿宋" w:cs="仿宋_GB2312"/>
          <w:spacing w:val="-2"/>
          <w:sz w:val="32"/>
          <w:szCs w:val="32"/>
        </w:rPr>
        <w:t>省教材建设研究中心（基地）推荐申报教材项目，由第一主编在平台上填报，所在高校管理员经教指委</w:t>
      </w:r>
      <w:r>
        <w:rPr>
          <w:rFonts w:hint="eastAsia" w:ascii="仿宋" w:hAnsi="仿宋" w:eastAsia="仿宋" w:cs="仿宋_GB2312"/>
          <w:spacing w:val="-2"/>
          <w:sz w:val="32"/>
          <w:szCs w:val="32"/>
          <w:lang w:eastAsia="zh-CN"/>
        </w:rPr>
        <w:t>、</w:t>
      </w:r>
      <w:r>
        <w:rPr>
          <w:rFonts w:hint="eastAsia" w:ascii="仿宋" w:hAnsi="仿宋" w:eastAsia="仿宋" w:cs="仿宋_GB2312"/>
          <w:spacing w:val="-2"/>
          <w:sz w:val="32"/>
          <w:szCs w:val="32"/>
          <w:lang w:val="en-US" w:eastAsia="zh-CN"/>
        </w:rPr>
        <w:t>高校</w:t>
      </w:r>
      <w:r>
        <w:rPr>
          <w:rFonts w:hint="eastAsia" w:ascii="仿宋" w:hAnsi="仿宋" w:eastAsia="仿宋" w:cs="仿宋_GB2312"/>
          <w:spacing w:val="-2"/>
          <w:sz w:val="32"/>
          <w:szCs w:val="32"/>
        </w:rPr>
        <w:t>通识教育分会</w:t>
      </w:r>
      <w:r>
        <w:rPr>
          <w:rFonts w:hint="eastAsia" w:ascii="仿宋" w:hAnsi="仿宋" w:eastAsia="仿宋" w:cs="仿宋_GB2312"/>
          <w:spacing w:val="-2"/>
          <w:sz w:val="32"/>
          <w:szCs w:val="32"/>
          <w:lang w:val="en-US" w:eastAsia="zh-CN"/>
        </w:rPr>
        <w:t>或</w:t>
      </w:r>
      <w:r>
        <w:rPr>
          <w:rFonts w:hint="eastAsia" w:ascii="仿宋" w:hAnsi="仿宋" w:eastAsia="仿宋" w:cs="仿宋_GB2312"/>
          <w:spacing w:val="-2"/>
          <w:sz w:val="32"/>
          <w:szCs w:val="32"/>
        </w:rPr>
        <w:t>省教材建设研究中心（基地）确认后提交。系列教材项目，由系列教材的第一主编对整套教材进行申报。所推荐的教材项目需填写《汇总表》（附件 6），并由教指委主任委员</w:t>
      </w:r>
      <w:r>
        <w:rPr>
          <w:rFonts w:hint="eastAsia" w:ascii="仿宋" w:hAnsi="仿宋" w:eastAsia="仿宋" w:cs="仿宋_GB2312"/>
          <w:spacing w:val="-2"/>
          <w:sz w:val="32"/>
          <w:szCs w:val="32"/>
          <w:lang w:eastAsia="zh-CN"/>
        </w:rPr>
        <w:t>、</w:t>
      </w:r>
      <w:r>
        <w:rPr>
          <w:rFonts w:hint="eastAsia" w:ascii="仿宋" w:hAnsi="仿宋" w:eastAsia="仿宋" w:cs="仿宋_GB2312"/>
          <w:spacing w:val="-2"/>
          <w:sz w:val="32"/>
          <w:szCs w:val="32"/>
          <w:lang w:val="en-US" w:eastAsia="zh-CN"/>
        </w:rPr>
        <w:t>高校</w:t>
      </w:r>
      <w:r>
        <w:rPr>
          <w:rFonts w:hint="eastAsia" w:ascii="仿宋" w:hAnsi="仿宋" w:eastAsia="仿宋" w:cs="仿宋_GB2312"/>
          <w:spacing w:val="-2"/>
          <w:sz w:val="32"/>
          <w:szCs w:val="32"/>
        </w:rPr>
        <w:t>通识教育分会理事长</w:t>
      </w:r>
      <w:r>
        <w:rPr>
          <w:rFonts w:hint="eastAsia" w:ascii="仿宋" w:hAnsi="仿宋" w:eastAsia="仿宋" w:cs="仿宋_GB2312"/>
          <w:spacing w:val="-2"/>
          <w:sz w:val="32"/>
          <w:szCs w:val="32"/>
          <w:lang w:val="en-US" w:eastAsia="zh-CN"/>
        </w:rPr>
        <w:t>或</w:t>
      </w:r>
      <w:r>
        <w:rPr>
          <w:rFonts w:hint="eastAsia" w:ascii="仿宋" w:hAnsi="仿宋" w:eastAsia="仿宋" w:cs="仿宋_GB2312"/>
          <w:spacing w:val="-2"/>
          <w:sz w:val="32"/>
          <w:szCs w:val="32"/>
        </w:rPr>
        <w:t>省教材建设研究中心（基地）</w:t>
      </w:r>
      <w:r>
        <w:rPr>
          <w:rFonts w:hint="eastAsia" w:ascii="仿宋" w:hAnsi="仿宋" w:eastAsia="仿宋" w:cs="仿宋_GB2312"/>
          <w:spacing w:val="-2"/>
          <w:sz w:val="32"/>
          <w:szCs w:val="32"/>
          <w:lang w:val="en-US" w:eastAsia="zh-CN"/>
        </w:rPr>
        <w:t>负责人</w:t>
      </w:r>
      <w:r>
        <w:rPr>
          <w:rFonts w:hint="eastAsia" w:ascii="仿宋" w:hAnsi="仿宋" w:eastAsia="仿宋" w:cs="仿宋_GB2312"/>
          <w:spacing w:val="-2"/>
          <w:sz w:val="32"/>
          <w:szCs w:val="32"/>
        </w:rPr>
        <w:t>签字。</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7.各高校网上申报及纸质材料寄送截止时间：2023年3月31日。</w:t>
      </w:r>
    </w:p>
    <w:bookmarkEnd w:id="1"/>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以上3、5（6）项材料一式一份请寄送至：</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教材建设分会秘书处和申报系统联系人：</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浙江大学出版社 傅宏梁  邮箱：</w:t>
      </w:r>
      <w:r>
        <w:fldChar w:fldCharType="begin"/>
      </w:r>
      <w:r>
        <w:instrText xml:space="preserve"> HYPERLINK "mailto:502547310@qq.com" </w:instrText>
      </w:r>
      <w:r>
        <w:fldChar w:fldCharType="separate"/>
      </w:r>
      <w:r>
        <w:rPr>
          <w:rStyle w:val="10"/>
          <w:rFonts w:hint="eastAsia" w:ascii="仿宋" w:hAnsi="仿宋" w:eastAsia="仿宋" w:cs="仿宋_GB2312"/>
          <w:color w:val="auto"/>
          <w:spacing w:val="-2"/>
          <w:sz w:val="32"/>
          <w:szCs w:val="32"/>
          <w:u w:val="none"/>
        </w:rPr>
        <w:t>502547310@qq.com</w:t>
      </w:r>
      <w:r>
        <w:rPr>
          <w:rStyle w:val="10"/>
          <w:rFonts w:hint="eastAsia" w:ascii="仿宋" w:hAnsi="仿宋" w:eastAsia="仿宋" w:cs="仿宋_GB2312"/>
          <w:color w:val="auto"/>
          <w:spacing w:val="-2"/>
          <w:sz w:val="32"/>
          <w:szCs w:val="32"/>
          <w:u w:val="none"/>
        </w:rPr>
        <w:fldChar w:fldCharType="end"/>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地址：杭州市西湖区天目山路148号浙江大学西溪校区西四教学楼610室</w:t>
      </w:r>
    </w:p>
    <w:p>
      <w:pPr>
        <w:spacing w:line="560" w:lineRule="exact"/>
        <w:ind w:firstLine="632" w:firstLineChars="200"/>
        <w:rPr>
          <w:rFonts w:ascii="仿宋" w:hAnsi="仿宋" w:eastAsia="仿宋" w:cs="仿宋_GB2312"/>
          <w:spacing w:val="-2"/>
          <w:sz w:val="32"/>
          <w:szCs w:val="32"/>
        </w:rPr>
      </w:pPr>
      <w:r>
        <w:rPr>
          <w:rFonts w:hint="eastAsia" w:ascii="仿宋" w:hAnsi="仿宋" w:eastAsia="仿宋" w:cs="仿宋_GB2312"/>
          <w:spacing w:val="-2"/>
          <w:sz w:val="32"/>
          <w:szCs w:val="32"/>
        </w:rPr>
        <w:t>联系电话：0571-88273329 13645715075</w:t>
      </w:r>
      <w:bookmarkStart w:id="3" w:name="_GoBack"/>
      <w:bookmarkEnd w:id="3"/>
    </w:p>
    <w:p>
      <w:pPr>
        <w:spacing w:line="560" w:lineRule="exact"/>
        <w:ind w:firstLine="632" w:firstLineChars="200"/>
        <w:rPr>
          <w:rFonts w:ascii="仿宋" w:hAnsi="仿宋" w:eastAsia="仿宋" w:cs="仿宋_GB2312"/>
          <w:spacing w:val="-2"/>
          <w:sz w:val="32"/>
          <w:szCs w:val="32"/>
        </w:rPr>
      </w:pPr>
    </w:p>
    <w:p>
      <w:pPr>
        <w:wordWrap w:val="0"/>
        <w:spacing w:line="560" w:lineRule="exact"/>
        <w:ind w:firstLine="632" w:firstLineChars="200"/>
        <w:jc w:val="right"/>
        <w:rPr>
          <w:rFonts w:ascii="仿宋" w:hAnsi="仿宋" w:eastAsia="仿宋" w:cs="仿宋_GB2312"/>
          <w:spacing w:val="-2"/>
          <w:sz w:val="32"/>
          <w:szCs w:val="32"/>
        </w:rPr>
      </w:pPr>
      <w:r>
        <w:rPr>
          <w:rFonts w:hint="eastAsia" w:ascii="仿宋" w:hAnsi="仿宋" w:eastAsia="仿宋" w:cs="仿宋_GB2312"/>
          <w:spacing w:val="-2"/>
          <w:sz w:val="32"/>
          <w:szCs w:val="32"/>
        </w:rPr>
        <w:t xml:space="preserve"> 浙江省高等教育学会教材建设分会 </w:t>
      </w:r>
    </w:p>
    <w:p>
      <w:pPr>
        <w:wordWrap w:val="0"/>
        <w:spacing w:line="560" w:lineRule="exact"/>
        <w:ind w:firstLine="632" w:firstLineChars="200"/>
        <w:jc w:val="right"/>
        <w:rPr>
          <w:rFonts w:ascii="宋体" w:hAnsi="宋体" w:eastAsia="宋体"/>
          <w:spacing w:val="-2"/>
          <w:sz w:val="32"/>
          <w:szCs w:val="32"/>
        </w:rPr>
      </w:pPr>
      <w:r>
        <w:rPr>
          <w:rFonts w:hint="eastAsia" w:ascii="仿宋" w:hAnsi="仿宋" w:eastAsia="仿宋" w:cs="仿宋_GB2312"/>
          <w:spacing w:val="-2"/>
          <w:sz w:val="32"/>
          <w:szCs w:val="32"/>
        </w:rPr>
        <w:t>2024年1月1</w:t>
      </w:r>
      <w:r>
        <w:rPr>
          <w:rFonts w:hint="eastAsia" w:ascii="仿宋" w:hAnsi="仿宋" w:eastAsia="仿宋" w:cs="仿宋_GB2312"/>
          <w:spacing w:val="-2"/>
          <w:sz w:val="32"/>
          <w:szCs w:val="32"/>
          <w:lang w:val="en-US" w:eastAsia="zh-CN"/>
        </w:rPr>
        <w:t>7</w:t>
      </w:r>
      <w:r>
        <w:rPr>
          <w:rFonts w:hint="eastAsia" w:ascii="仿宋" w:hAnsi="仿宋" w:eastAsia="仿宋" w:cs="仿宋_GB2312"/>
          <w:spacing w:val="-2"/>
          <w:sz w:val="32"/>
          <w:szCs w:val="32"/>
        </w:rPr>
        <w:t xml:space="preserve">日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11B0DC-B6C7-4AA1-9FBF-A1C154B2D3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2" w:fontKey="{7C422238-F34B-491F-99E9-A6C7CDC96469}"/>
  </w:font>
  <w:font w:name="方正小标宋_GBK">
    <w:panose1 w:val="03000509000000000000"/>
    <w:charset w:val="86"/>
    <w:family w:val="auto"/>
    <w:pitch w:val="default"/>
    <w:sig w:usb0="00000001" w:usb1="080E0000" w:usb2="00000000" w:usb3="00000000" w:csb0="00040000" w:csb1="00000000"/>
    <w:embedRegular r:id="rId3" w:fontKey="{A4E6783F-C2DD-4B07-9489-3C3836150A6E}"/>
  </w:font>
  <w:font w:name="仿宋">
    <w:panose1 w:val="02010609060101010101"/>
    <w:charset w:val="86"/>
    <w:family w:val="modern"/>
    <w:pitch w:val="default"/>
    <w:sig w:usb0="800002BF" w:usb1="38CF7CFA" w:usb2="00000016" w:usb3="00000000" w:csb0="00040001" w:csb1="00000000"/>
    <w:embedRegular r:id="rId4" w:fontKey="{744B2C90-AF5C-48C8-B58A-FE3B948C6765}"/>
  </w:font>
  <w:font w:name="仿宋_GB2312">
    <w:panose1 w:val="02010609030101010101"/>
    <w:charset w:val="86"/>
    <w:family w:val="modern"/>
    <w:pitch w:val="default"/>
    <w:sig w:usb0="00000001" w:usb1="080E0000" w:usb2="00000000" w:usb3="00000000" w:csb0="00040000" w:csb1="00000000"/>
    <w:embedRegular r:id="rId5" w:fontKey="{B43120CA-C306-48F9-ACB5-B65C3C705FC5}"/>
  </w:font>
  <w:font w:name="楷体">
    <w:panose1 w:val="02010609060101010101"/>
    <w:charset w:val="86"/>
    <w:family w:val="modern"/>
    <w:pitch w:val="default"/>
    <w:sig w:usb0="800002BF" w:usb1="38CF7CFA" w:usb2="00000016" w:usb3="00000000" w:csb0="00040001" w:csb1="00000000"/>
    <w:embedRegular r:id="rId6" w:fontKey="{C8D380AD-8D16-4745-BB35-F3A0F480DCE9}"/>
  </w:font>
  <w:font w:name="楷体_GB2312">
    <w:panose1 w:val="02010609030101010101"/>
    <w:charset w:val="86"/>
    <w:family w:val="auto"/>
    <w:pitch w:val="default"/>
    <w:sig w:usb0="00000001" w:usb1="080E0000" w:usb2="00000000" w:usb3="00000000" w:csb0="00040000" w:csb1="00000000"/>
    <w:embedRegular r:id="rId7" w:fontKey="{ECCF36DD-B937-4356-A5BE-B4C28EB136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rect id="文本框 1" o:spid="_x0000_s3073" o:spt="1"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">
          <v:path/>
          <v:fill on="f" focussize="0,0"/>
          <v:stroke on="f"/>
          <v:imagedata o:title=""/>
          <o:lock v:ext="edit"/>
          <v:textbox inset="0mm,0mm,0mm,0mm" style="mso-fit-shape-to-text:t;">
            <w:txbxContent>
              <w:p>
                <w:r>
                  <w:fldChar w:fldCharType="begin"/>
                </w:r>
                <w:r>
                  <w:instrText xml:space="preserve"> PAGE  \* MERGEFORMAT </w:instrText>
                </w:r>
                <w:r>
                  <w:fldChar w:fldCharType="separate"/>
                </w:r>
                <w:r>
                  <w:t>- 7 -</w:t>
                </w:r>
                <w:r>
                  <w:fldChar w:fldCharType="end"/>
                </w:r>
              </w:p>
            </w:txbxContent>
          </v:textbox>
        </v:rect>
      </w:pic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chineseCountingThousand"/>
      <w:suff w:val="nothing"/>
      <w:lvlText w:val="（%1）"/>
      <w:lvlJc w:val="left"/>
      <w:pPr>
        <w:ind w:left="0" w:firstLine="0"/>
      </w:pPr>
      <w:rPr>
        <w:rFonts w:hint="eastAsia"/>
      </w:rPr>
    </w:lvl>
  </w:abstractNum>
  <w:abstractNum w:abstractNumId="1">
    <w:nsid w:val="27FA66F6"/>
    <w:multiLevelType w:val="singleLevel"/>
    <w:tmpl w:val="27FA66F6"/>
    <w:lvl w:ilvl="0" w:tentative="0">
      <w:start w:val="5"/>
      <w:numFmt w:val="chineseCountingThousand"/>
      <w:suff w:val="nothing"/>
      <w:lvlText w:val="%1、"/>
      <w:lvlJc w:val="left"/>
      <w:pPr>
        <w:ind w:left="0" w:firstLine="0"/>
      </w:pPr>
    </w:lvl>
  </w:abstractNum>
  <w:abstractNum w:abstractNumId="2">
    <w:nsid w:val="36D07C72"/>
    <w:multiLevelType w:val="singleLevel"/>
    <w:tmpl w:val="36D07C72"/>
    <w:lvl w:ilvl="0" w:tentative="0">
      <w:start w:val="2"/>
      <w:numFmt w:val="chineseCountingThousand"/>
      <w:suff w:val="nothing"/>
      <w:lvlText w:val="%1、"/>
      <w:lvlJc w:val="left"/>
      <w:pPr>
        <w:ind w:left="0" w:firstLine="0"/>
      </w:pPr>
    </w:lvl>
  </w:abstractNum>
  <w:abstractNum w:abstractNumId="3">
    <w:nsid w:val="38CB77FA"/>
    <w:multiLevelType w:val="singleLevel"/>
    <w:tmpl w:val="38CB77FA"/>
    <w:lvl w:ilvl="0" w:tentative="0">
      <w:start w:val="1"/>
      <w:numFmt w:val="chineseCountingThousand"/>
      <w:suff w:val="nothing"/>
      <w:lvlText w:val="%1、"/>
      <w:lvlJc w:val="left"/>
      <w:pPr>
        <w:ind w:left="0" w:firstLine="0"/>
      </w:pPr>
    </w:lvl>
  </w:abstractNum>
  <w:abstractNum w:abstractNumId="4">
    <w:nsid w:val="417E44C7"/>
    <w:multiLevelType w:val="singleLevel"/>
    <w:tmpl w:val="417E44C7"/>
    <w:lvl w:ilvl="0" w:tentative="0">
      <w:start w:val="4"/>
      <w:numFmt w:val="chineseCountingThousand"/>
      <w:suff w:val="nothing"/>
      <w:lvlText w:val="%1、"/>
      <w:lvlJc w:val="left"/>
      <w:pPr>
        <w:ind w:left="0" w:firstLine="0"/>
      </w:pPr>
    </w:lvl>
  </w:abstractNum>
  <w:abstractNum w:abstractNumId="5">
    <w:nsid w:val="48D43D39"/>
    <w:multiLevelType w:val="singleLevel"/>
    <w:tmpl w:val="48D43D39"/>
    <w:lvl w:ilvl="0" w:tentative="0">
      <w:start w:val="3"/>
      <w:numFmt w:val="chineseCountingThousand"/>
      <w:suff w:val="nothing"/>
      <w:lvlText w:val="%1、"/>
      <w:lvlJc w:val="left"/>
      <w:pPr>
        <w:ind w:left="0" w:firstLine="0"/>
      </w:p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QyYTYxYjU4NWNkMjQxY2E1YzJjNmJhZTQyODAzZjcifQ=="/>
  </w:docVars>
  <w:rsids>
    <w:rsidRoot w:val="00303B46"/>
    <w:rsid w:val="00000D82"/>
    <w:rsid w:val="000025D4"/>
    <w:rsid w:val="00082238"/>
    <w:rsid w:val="000908A5"/>
    <w:rsid w:val="000B0104"/>
    <w:rsid w:val="000E768D"/>
    <w:rsid w:val="0015704C"/>
    <w:rsid w:val="001C1ACE"/>
    <w:rsid w:val="001E6DAE"/>
    <w:rsid w:val="002C41F9"/>
    <w:rsid w:val="00303B46"/>
    <w:rsid w:val="00316E6D"/>
    <w:rsid w:val="00373E5E"/>
    <w:rsid w:val="00387AA8"/>
    <w:rsid w:val="00391588"/>
    <w:rsid w:val="003D449E"/>
    <w:rsid w:val="003E5638"/>
    <w:rsid w:val="004205B6"/>
    <w:rsid w:val="00437550"/>
    <w:rsid w:val="004667B7"/>
    <w:rsid w:val="004B01CE"/>
    <w:rsid w:val="004B3EC5"/>
    <w:rsid w:val="00517611"/>
    <w:rsid w:val="00537EC1"/>
    <w:rsid w:val="00554F64"/>
    <w:rsid w:val="00657F80"/>
    <w:rsid w:val="0067799A"/>
    <w:rsid w:val="00681C39"/>
    <w:rsid w:val="006D1B4C"/>
    <w:rsid w:val="007164CF"/>
    <w:rsid w:val="00720BDD"/>
    <w:rsid w:val="0077145C"/>
    <w:rsid w:val="007C337A"/>
    <w:rsid w:val="00847EE8"/>
    <w:rsid w:val="008709C0"/>
    <w:rsid w:val="008B3FEE"/>
    <w:rsid w:val="00914FBE"/>
    <w:rsid w:val="00984A13"/>
    <w:rsid w:val="00993B7F"/>
    <w:rsid w:val="009A4E8C"/>
    <w:rsid w:val="009C09EF"/>
    <w:rsid w:val="009C6C73"/>
    <w:rsid w:val="009F4716"/>
    <w:rsid w:val="00A72621"/>
    <w:rsid w:val="00B04854"/>
    <w:rsid w:val="00B15DB6"/>
    <w:rsid w:val="00B436AE"/>
    <w:rsid w:val="00BE7606"/>
    <w:rsid w:val="00CC7B62"/>
    <w:rsid w:val="00E11BA4"/>
    <w:rsid w:val="00EB6084"/>
    <w:rsid w:val="00ED666A"/>
    <w:rsid w:val="00F6262A"/>
    <w:rsid w:val="00F91342"/>
    <w:rsid w:val="00FF4183"/>
    <w:rsid w:val="016229AF"/>
    <w:rsid w:val="05C213CE"/>
    <w:rsid w:val="0AB62856"/>
    <w:rsid w:val="0CA12A12"/>
    <w:rsid w:val="0DF71597"/>
    <w:rsid w:val="112E7B01"/>
    <w:rsid w:val="1E5A22DA"/>
    <w:rsid w:val="20250841"/>
    <w:rsid w:val="205567C9"/>
    <w:rsid w:val="22854C7A"/>
    <w:rsid w:val="22F573A9"/>
    <w:rsid w:val="296E2862"/>
    <w:rsid w:val="29716FEB"/>
    <w:rsid w:val="2CB55D18"/>
    <w:rsid w:val="30881983"/>
    <w:rsid w:val="31681790"/>
    <w:rsid w:val="31865427"/>
    <w:rsid w:val="3C2D30F7"/>
    <w:rsid w:val="3C74072E"/>
    <w:rsid w:val="3D235897"/>
    <w:rsid w:val="3F2E13B9"/>
    <w:rsid w:val="420330CD"/>
    <w:rsid w:val="44953179"/>
    <w:rsid w:val="48AD10E3"/>
    <w:rsid w:val="49A52A59"/>
    <w:rsid w:val="51F53064"/>
    <w:rsid w:val="53324058"/>
    <w:rsid w:val="53DD36DE"/>
    <w:rsid w:val="59777658"/>
    <w:rsid w:val="72EF672A"/>
    <w:rsid w:val="766004C7"/>
    <w:rsid w:val="779C40BA"/>
    <w:rsid w:val="7A781326"/>
    <w:rsid w:val="7ACC3551"/>
    <w:rsid w:val="7C86184A"/>
    <w:rsid w:val="7F540B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3"/>
    <w:autoRedefine/>
    <w:qFormat/>
    <w:uiPriority w:val="99"/>
    <w:rPr>
      <w:sz w:val="18"/>
      <w:szCs w:val="18"/>
    </w:rPr>
  </w:style>
  <w:style w:type="paragraph" w:styleId="5">
    <w:name w:val="footer"/>
    <w:basedOn w:val="1"/>
    <w:link w:val="12"/>
    <w:autoRedefine/>
    <w:qFormat/>
    <w:uiPriority w:val="99"/>
    <w:pPr>
      <w:tabs>
        <w:tab w:val="center" w:pos="4153"/>
        <w:tab w:val="right" w:pos="8306"/>
      </w:tabs>
      <w:snapToGrid w:val="0"/>
      <w:jc w:val="left"/>
    </w:pPr>
    <w:rPr>
      <w:sz w:val="18"/>
      <w:szCs w:val="18"/>
    </w:rPr>
  </w:style>
  <w:style w:type="paragraph" w:styleId="6">
    <w:name w:val="header"/>
    <w:basedOn w:val="1"/>
    <w:link w:val="11"/>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widowControl/>
      <w:spacing w:before="100" w:beforeAutospacing="1" w:after="100" w:afterAutospacing="1"/>
      <w:jc w:val="left"/>
    </w:pPr>
    <w:rPr>
      <w:rFonts w:ascii="宋体" w:hAnsi="宋体" w:eastAsia="宋体"/>
      <w:kern w:val="0"/>
      <w:sz w:val="24"/>
      <w:szCs w:val="24"/>
    </w:rPr>
  </w:style>
  <w:style w:type="character" w:styleId="10">
    <w:name w:val="Hyperlink"/>
    <w:basedOn w:val="9"/>
    <w:autoRedefine/>
    <w:qFormat/>
    <w:uiPriority w:val="99"/>
    <w:rPr>
      <w:color w:val="0563C1"/>
      <w:u w:val="single"/>
    </w:rPr>
  </w:style>
  <w:style w:type="character" w:customStyle="1" w:styleId="11">
    <w:name w:val="页眉 字符"/>
    <w:basedOn w:val="9"/>
    <w:link w:val="6"/>
    <w:autoRedefine/>
    <w:qFormat/>
    <w:uiPriority w:val="99"/>
    <w:rPr>
      <w:sz w:val="18"/>
      <w:szCs w:val="18"/>
    </w:rPr>
  </w:style>
  <w:style w:type="character" w:customStyle="1" w:styleId="12">
    <w:name w:val="页脚 字符"/>
    <w:basedOn w:val="9"/>
    <w:link w:val="5"/>
    <w:autoRedefine/>
    <w:qFormat/>
    <w:uiPriority w:val="99"/>
    <w:rPr>
      <w:sz w:val="18"/>
      <w:szCs w:val="18"/>
    </w:rPr>
  </w:style>
  <w:style w:type="character" w:customStyle="1" w:styleId="13">
    <w:name w:val="批注框文本 字符"/>
    <w:basedOn w:val="9"/>
    <w:link w:val="4"/>
    <w:autoRedefine/>
    <w:qFormat/>
    <w:uiPriority w:val="99"/>
    <w:rPr>
      <w:rFonts w:ascii="等线" w:hAnsi="等线" w:eastAsia="等线" w:cs="宋体"/>
      <w:kern w:val="2"/>
      <w:sz w:val="18"/>
      <w:szCs w:val="18"/>
    </w:rPr>
  </w:style>
  <w:style w:type="paragraph" w:styleId="14">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4827</Words>
  <Characters>4983</Characters>
  <Lines>34</Lines>
  <Paragraphs>9</Paragraphs>
  <TotalTime>0</TotalTime>
  <ScaleCrop>false</ScaleCrop>
  <LinksUpToDate>false</LinksUpToDate>
  <CharactersWithSpaces>4998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2022-06-26T06:53:00Z</dcterms:created>
  <dc:creator>jc</dc:creator>
  <cp:lastModifiedBy>蜂蜜柠檬水</cp:lastModifiedBy>
  <cp:lastPrinted>2024-01-18T07:53:52Z</cp:lastPrinted>
  <dcterms:modified xsi:type="dcterms:W3CDTF">2024-01-18T11:09:52Z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8BF72918EA2E41A28C21D91827FC5ABF</vt:lpwstr>
  </property>
</Properties>
</file>