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rPr>
      </w:pPr>
      <w:bookmarkStart w:id="0" w:name="_GoBack"/>
      <w:r>
        <w:rPr>
          <w:rFonts w:hint="eastAsia" w:ascii="方正小标宋简体" w:hAnsi="方正小标宋简体" w:eastAsia="方正小标宋简体" w:cs="方正小标宋简体"/>
          <w:b/>
          <w:bCs/>
          <w:sz w:val="36"/>
          <w:szCs w:val="36"/>
        </w:rPr>
        <w:t>浙江工业大学基层教学组织考核评估标准</w:t>
      </w:r>
      <w:bookmarkEnd w:id="0"/>
    </w:p>
    <w:p>
      <w:pPr>
        <w:jc w:val="center"/>
        <w:rPr>
          <w:rFonts w:hint="eastAsia" w:ascii="仿宋_GB2312" w:hAnsi="仿宋_GB2312" w:eastAsia="仿宋_GB2312" w:cs="仿宋_GB2312"/>
          <w:sz w:val="24"/>
          <w:szCs w:val="24"/>
        </w:rPr>
      </w:pPr>
    </w:p>
    <w:p>
      <w:pPr>
        <w:jc w:val="center"/>
        <w:rPr>
          <w:rFonts w:hint="eastAsia" w:ascii="黑体" w:hAnsi="黑体" w:eastAsia="黑体" w:cs="黑体"/>
          <w:sz w:val="28"/>
          <w:szCs w:val="28"/>
        </w:rPr>
      </w:pPr>
      <w:r>
        <w:rPr>
          <w:rFonts w:hint="eastAsia" w:ascii="黑体" w:hAnsi="黑体" w:eastAsia="黑体" w:cs="黑体"/>
          <w:sz w:val="28"/>
          <w:szCs w:val="28"/>
        </w:rPr>
        <w:t>专业类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w:t>
            </w:r>
          </w:p>
        </w:tc>
        <w:tc>
          <w:tcPr>
            <w:tcW w:w="5660"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指标涵义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教研活动（</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健全的教研工作制度，包括组织职责与分工、例会与集体备课、听评课与教学检查等；</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完整的教学活动计划和活动记录，每一个基层教学组织每学期开展以教学为主题的专题教研活动应不少于 4 次，并形成会议记录备查。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教师发展（</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教师梯队合理；</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当年教师参加校内或校外培训和学术交流活动的时数与次数（不少于40学时/人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不少于2次</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教师参加教学类比赛的获奖情况</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组织相互听课、教学观摩、说课，开展同行评议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青年教师助讲培养制度和新开课试讲</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赴国内外高水平大学进修</w:t>
            </w:r>
            <w:r>
              <w:rPr>
                <w:rFonts w:hint="eastAsia" w:ascii="仿宋_GB2312" w:hAnsi="仿宋_GB2312" w:eastAsia="仿宋_GB2312" w:cs="仿宋_GB2312"/>
                <w:sz w:val="24"/>
                <w:szCs w:val="24"/>
                <w:lang w:eastAsia="zh-CN"/>
              </w:rPr>
              <w:t>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教学研究与改革（</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当年教师教学论文发表、教改课改项目、教材编写选用情况；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当年线上课程、混合式课程开设情况；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一流专业及一流课程建设情况；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校级及以上教学平台建设情况；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举办全国性教学研讨类会议情况；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专业思政建设。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学生培养与实践（</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定期组织召开学生座谈会</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学生毕业率、就业率、升学率；</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学生国际化培养情况；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学生论文发表、专利发明、创新创业项目数量；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学生参加学科竞赛获奖情况；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实践教学基地建设情况；其他实践类项目建设情况。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创新性活动（</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创新性改革措施取得有效进展和成果，有典型经验可复制推广。</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28"/>
          <w:szCs w:val="28"/>
        </w:rPr>
      </w:pPr>
      <w:r>
        <w:rPr>
          <w:rFonts w:hint="eastAsia" w:ascii="黑体" w:hAnsi="黑体" w:eastAsia="黑体" w:cs="黑体"/>
          <w:sz w:val="28"/>
          <w:szCs w:val="28"/>
        </w:rPr>
        <w:t>课程类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w:t>
            </w:r>
          </w:p>
        </w:tc>
        <w:tc>
          <w:tcPr>
            <w:tcW w:w="5660"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指标涵义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教研活动（</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健全的教研工作制度，包括组织职责与分工、例会与集体备课、听评课与教学检查等；</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完整的教学活动计划和活动记录，每一个基层教学组织每学期开展以教学为主题的专题教研活动应不少于 4 次，并形成会议记录备查。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教师发展（2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教师梯队合理；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当年教师参加校内或校外培训和学术交流活动的时数与次数（不少于40学时/人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不少于2次</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教师参加教学类比赛的获奖情况</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组织相互听课、教学观摩、说课，开展同行评议</w:t>
            </w:r>
            <w:r>
              <w:rPr>
                <w:rFonts w:hint="eastAsia" w:ascii="仿宋_GB2312" w:hAnsi="仿宋_GB2312" w:eastAsia="仿宋_GB2312" w:cs="仿宋_GB2312"/>
                <w:sz w:val="24"/>
                <w:szCs w:val="24"/>
                <w:lang w:eastAsia="zh-CN"/>
              </w:rPr>
              <w:t>情况；</w:t>
            </w:r>
            <w:r>
              <w:rPr>
                <w:rFonts w:hint="eastAsia" w:ascii="仿宋_GB2312" w:hAnsi="仿宋_GB2312" w:eastAsia="仿宋_GB2312" w:cs="仿宋_GB2312"/>
                <w:sz w:val="24"/>
                <w:szCs w:val="24"/>
              </w:rPr>
              <w:t>青年教师助讲培养制度和新开课试讲</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赴国内外高水平大学进修</w:t>
            </w:r>
            <w:r>
              <w:rPr>
                <w:rFonts w:hint="eastAsia" w:ascii="仿宋_GB2312" w:hAnsi="仿宋_GB2312" w:eastAsia="仿宋_GB2312" w:cs="仿宋_GB2312"/>
                <w:sz w:val="24"/>
                <w:szCs w:val="24"/>
                <w:lang w:eastAsia="zh-CN"/>
              </w:rPr>
              <w:t>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教学研究与改革（</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当年教师教学论文发表、教改课改项目、教材编写选用情况；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当年线上课程、混合式课程开设情况；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一流课程建设情况；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校级及以上教学平台建设情况；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举办全国性教学研讨类会议情况；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课程思政建设；</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信息技术手段应用情况。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学生培养与实践（</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定期组织召开学生座谈会</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学评课情况；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学生学业完成与过程性考核评价实施情况；</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考教分离落实情况</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参加学校联考等活动取得成绩情况。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创新性活动（</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创新性改革措施取得有效进展和成果，有典型经验可复制推广。</w:t>
            </w:r>
          </w:p>
        </w:tc>
      </w:tr>
    </w:tbl>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jc w:val="center"/>
        <w:rPr>
          <w:rFonts w:hint="eastAsia" w:ascii="黑体" w:hAnsi="黑体" w:eastAsia="黑体" w:cs="黑体"/>
          <w:sz w:val="28"/>
          <w:szCs w:val="28"/>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28"/>
          <w:szCs w:val="28"/>
        </w:rPr>
      </w:pPr>
      <w:r>
        <w:rPr>
          <w:rFonts w:hint="eastAsia" w:ascii="黑体" w:hAnsi="黑体" w:eastAsia="黑体" w:cs="黑体"/>
          <w:sz w:val="28"/>
          <w:szCs w:val="28"/>
        </w:rPr>
        <w:t>平台类</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w:t>
            </w:r>
          </w:p>
        </w:tc>
        <w:tc>
          <w:tcPr>
            <w:tcW w:w="5660" w:type="dxa"/>
          </w:tcPr>
          <w:p>
            <w:pP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指标涵义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教研活动（</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健全的教研工作制度，包括组织职责与分工、例会等；</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完整的教学活动计划和活动记录，每一个基层教学组织每学期开展以教学为主题的专题教研活动应不少于 4 次，并形成会议记录备查。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教师发展（</w:t>
            </w: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教师梯队合理；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当年教师参加校内或校外培训和学术交流活动的时数与次数（不少于40学时/人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不少于2次</w:t>
            </w:r>
            <w:r>
              <w:rPr>
                <w:rFonts w:hint="eastAsia" w:ascii="仿宋_GB2312" w:hAnsi="仿宋_GB2312" w:eastAsia="仿宋_GB2312" w:cs="仿宋_GB2312"/>
                <w:sz w:val="24"/>
                <w:szCs w:val="24"/>
                <w:lang w:val="en-US" w:eastAsia="zh-CN"/>
              </w:rPr>
              <w:t>/人</w:t>
            </w:r>
            <w:r>
              <w:rPr>
                <w:rFonts w:hint="eastAsia" w:ascii="仿宋_GB2312" w:hAnsi="仿宋_GB2312" w:eastAsia="仿宋_GB2312" w:cs="仿宋_GB2312"/>
                <w:sz w:val="24"/>
                <w:szCs w:val="24"/>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教师参加教学类比赛的获奖情况</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组织相互听课、教学观摩、说课，开展同行评议</w:t>
            </w:r>
            <w:r>
              <w:rPr>
                <w:rFonts w:hint="eastAsia" w:ascii="仿宋_GB2312" w:hAnsi="仿宋_GB2312" w:eastAsia="仿宋_GB2312" w:cs="仿宋_GB2312"/>
                <w:sz w:val="24"/>
                <w:szCs w:val="24"/>
                <w:lang w:eastAsia="zh-CN"/>
              </w:rPr>
              <w:t>情况，</w:t>
            </w:r>
            <w:r>
              <w:rPr>
                <w:rFonts w:hint="eastAsia" w:ascii="仿宋_GB2312" w:hAnsi="仿宋_GB2312" w:eastAsia="仿宋_GB2312" w:cs="仿宋_GB2312"/>
                <w:sz w:val="24"/>
                <w:szCs w:val="24"/>
              </w:rPr>
              <w:t>青年教师助讲培养制度和新开课试讲</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赴国内外高水平大学进修</w:t>
            </w:r>
            <w:r>
              <w:rPr>
                <w:rFonts w:hint="eastAsia" w:ascii="仿宋_GB2312" w:hAnsi="仿宋_GB2312" w:eastAsia="仿宋_GB2312" w:cs="仿宋_GB2312"/>
                <w:sz w:val="24"/>
                <w:szCs w:val="24"/>
                <w:lang w:eastAsia="zh-CN"/>
              </w:rPr>
              <w:t>培训情况。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教学研究与改革（2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当年教师教学论文发表、教改课改项目、教材编写情况；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校级及以上教学平台建设情况；</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校级及以上虚拟仿真项目建设情况</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举办全国性教学研讨类会议情况；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信息技术手段应用情况。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学生培养与实践（</w:t>
            </w:r>
            <w:r>
              <w:rPr>
                <w:rFonts w:hint="eastAsia" w:ascii="仿宋_GB2312" w:hAnsi="仿宋_GB2312" w:eastAsia="仿宋_GB2312" w:cs="仿宋_GB2312"/>
                <w:sz w:val="24"/>
                <w:szCs w:val="24"/>
                <w:lang w:val="en-US" w:eastAsia="zh-CN"/>
              </w:rPr>
              <w:t>35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定期组织召开学生座谈会</w:t>
            </w:r>
            <w:r>
              <w:rPr>
                <w:rFonts w:hint="eastAsia" w:ascii="仿宋_GB2312" w:hAnsi="仿宋_GB2312" w:eastAsia="仿宋_GB2312" w:cs="仿宋_GB2312"/>
                <w:sz w:val="24"/>
                <w:szCs w:val="24"/>
                <w:lang w:eastAsia="zh-CN"/>
              </w:rPr>
              <w:t>；</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学生论文发表、专利发明、创新创业项目数量；</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学生参加学科竞赛获奖情况；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实践教学基地建设情况；</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其他实践类项目建设情况。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创新性活动（</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c>
          <w:tcPr>
            <w:tcW w:w="5660" w:type="dxa"/>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创新性改革措施取得有效进展和成果，有典型经验可复制推广。</w:t>
            </w:r>
          </w:p>
        </w:tc>
      </w:tr>
    </w:tbl>
    <w:p>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ZmQ3ZWRlMTY0MGQ1YmFmMmE3MzAzYWYxNzRlZjgifQ=="/>
  </w:docVars>
  <w:rsids>
    <w:rsidRoot w:val="2D301B16"/>
    <w:rsid w:val="106D266B"/>
    <w:rsid w:val="157E1BBE"/>
    <w:rsid w:val="1D4A51C0"/>
    <w:rsid w:val="25655DA7"/>
    <w:rsid w:val="2920335E"/>
    <w:rsid w:val="2948350D"/>
    <w:rsid w:val="2CCA6146"/>
    <w:rsid w:val="2D301B16"/>
    <w:rsid w:val="2DAF29E1"/>
    <w:rsid w:val="33A500B2"/>
    <w:rsid w:val="349518DB"/>
    <w:rsid w:val="363B16F3"/>
    <w:rsid w:val="423E7143"/>
    <w:rsid w:val="47DD442D"/>
    <w:rsid w:val="4E407B1D"/>
    <w:rsid w:val="4FE94E08"/>
    <w:rsid w:val="55037ACD"/>
    <w:rsid w:val="5974322E"/>
    <w:rsid w:val="5CFD120F"/>
    <w:rsid w:val="61364986"/>
    <w:rsid w:val="62DB4790"/>
    <w:rsid w:val="6347755A"/>
    <w:rsid w:val="6ED3550E"/>
    <w:rsid w:val="7632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2022-12-13T07:31:00Z</dcterms:created>
  <dc:creator>13958027279</dc:creator>
  <cp:lastModifiedBy>13958027279</cp:lastModifiedBy>
  <dcterms:modified xsi:type="dcterms:W3CDTF">2022-12-13T07:37:38Z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011CD3EC560F430C86C01ED56267277D</vt:lpwstr>
  </property>
</Properties>
</file>